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D977E8" w14:textId="6195596C" w:rsidR="00CC3077" w:rsidRPr="00F21462" w:rsidRDefault="00CC3077" w:rsidP="008F0B2C">
      <w:pPr>
        <w:keepNext/>
        <w:keepLines/>
        <w:tabs>
          <w:tab w:val="left" w:pos="284"/>
        </w:tabs>
        <w:spacing w:after="460"/>
        <w:rPr>
          <w:rFonts w:eastAsia="Times"/>
          <w:color w:val="auto"/>
          <w:szCs w:val="32"/>
        </w:rPr>
      </w:pPr>
      <w:bookmarkStart w:id="0" w:name="_GoBack"/>
      <w:bookmarkEnd w:id="0"/>
      <w:r w:rsidRPr="00F21462">
        <w:rPr>
          <w:rFonts w:eastAsia="Times"/>
          <w:color w:val="auto"/>
          <w:szCs w:val="32"/>
        </w:rPr>
        <w:t>Original Article</w:t>
      </w:r>
    </w:p>
    <w:p w14:paraId="721D535F" w14:textId="69DF011C" w:rsidR="00274BE6" w:rsidRPr="00627C32" w:rsidRDefault="007B0713" w:rsidP="00EF0C5E">
      <w:pPr>
        <w:keepNext/>
        <w:keepLines/>
        <w:tabs>
          <w:tab w:val="left" w:pos="284"/>
        </w:tabs>
        <w:spacing w:after="460"/>
        <w:jc w:val="center"/>
        <w:rPr>
          <w:rFonts w:ascii="Arial" w:hAnsi="Arial" w:cs="Arial"/>
          <w:color w:val="0070C0"/>
          <w:sz w:val="32"/>
          <w:szCs w:val="32"/>
        </w:rPr>
      </w:pPr>
      <w:r w:rsidRPr="007B0713">
        <w:rPr>
          <w:rFonts w:ascii="Arial" w:eastAsia="Times" w:hAnsi="Arial" w:cs="Arial"/>
          <w:b/>
          <w:color w:val="1F4E79" w:themeColor="accent5" w:themeShade="80"/>
          <w:sz w:val="32"/>
          <w:szCs w:val="32"/>
          <w:lang w:val="en-US"/>
        </w:rPr>
        <w:t>Description of Psychological Well Being in the Covid-19 Pandemic Period for Ahmad Dahlan University FKIP Students</w:t>
      </w:r>
      <w:r w:rsidR="00E750E2">
        <w:rPr>
          <w:rFonts w:ascii="Arial" w:eastAsia="Times" w:hAnsi="Arial" w:cs="Arial"/>
          <w:b/>
          <w:color w:val="1F4E79" w:themeColor="accent5" w:themeShade="80"/>
          <w:sz w:val="32"/>
          <w:szCs w:val="32"/>
        </w:rPr>
        <w:t xml:space="preserve"> </w:t>
      </w:r>
    </w:p>
    <w:p w14:paraId="6A145853" w14:textId="3A8FBFAA" w:rsidR="00274BE6" w:rsidRPr="00591ADD" w:rsidRDefault="00F65DBB" w:rsidP="00D85551">
      <w:pPr>
        <w:ind w:firstLine="227"/>
        <w:jc w:val="center"/>
        <w:rPr>
          <w:rFonts w:ascii="Arial Narrow" w:hAnsi="Arial Narrow"/>
          <w:b/>
          <w:color w:val="C00000"/>
        </w:rPr>
      </w:pPr>
      <w:proofErr w:type="spellStart"/>
      <w:r w:rsidRPr="00F65DBB">
        <w:rPr>
          <w:rFonts w:ascii="Arial Narrow" w:eastAsia="Times" w:hAnsi="Arial Narrow"/>
          <w:b/>
          <w:color w:val="C00000"/>
          <w:lang w:val="en-US"/>
        </w:rPr>
        <w:t>Dody</w:t>
      </w:r>
      <w:proofErr w:type="spellEnd"/>
      <w:r w:rsidRPr="00F65DBB">
        <w:rPr>
          <w:rFonts w:ascii="Arial Narrow" w:eastAsia="Times" w:hAnsi="Arial Narrow"/>
          <w:b/>
          <w:color w:val="C00000"/>
          <w:lang w:val="en-US"/>
        </w:rPr>
        <w:t xml:space="preserve"> Hartanto</w:t>
      </w:r>
      <w:r w:rsidR="009809A4" w:rsidRPr="00591ADD">
        <w:rPr>
          <w:rFonts w:ascii="Arial Narrow" w:eastAsia="Times" w:hAnsi="Arial Narrow"/>
          <w:b/>
          <w:color w:val="C00000"/>
          <w:vertAlign w:val="superscript"/>
        </w:rPr>
        <w:t>1</w:t>
      </w:r>
      <w:r w:rsidR="008153B4" w:rsidRPr="00591ADD">
        <w:rPr>
          <w:rFonts w:ascii="Arial Narrow" w:eastAsia="Times" w:hAnsi="Arial Narrow"/>
          <w:b/>
          <w:color w:val="C00000"/>
        </w:rPr>
        <w:t>,</w:t>
      </w:r>
      <w:r w:rsidR="00627C32" w:rsidRPr="00591ADD">
        <w:rPr>
          <w:rFonts w:ascii="Arial Narrow" w:eastAsia="Times" w:hAnsi="Arial Narrow"/>
          <w:b/>
          <w:color w:val="C00000"/>
        </w:rPr>
        <w:t xml:space="preserve"> </w:t>
      </w:r>
      <w:proofErr w:type="spellStart"/>
      <w:r w:rsidRPr="00F65DBB">
        <w:rPr>
          <w:rFonts w:ascii="Arial Narrow" w:eastAsia="Times" w:hAnsi="Arial Narrow"/>
          <w:b/>
          <w:color w:val="C00000"/>
          <w:lang w:val="en-US"/>
        </w:rPr>
        <w:t>Caraka</w:t>
      </w:r>
      <w:proofErr w:type="spellEnd"/>
      <w:r w:rsidRPr="00F65DBB">
        <w:rPr>
          <w:rFonts w:ascii="Arial Narrow" w:eastAsia="Times" w:hAnsi="Arial Narrow"/>
          <w:b/>
          <w:color w:val="C00000"/>
          <w:lang w:val="en-US"/>
        </w:rPr>
        <w:t xml:space="preserve"> Putra Bhakti</w:t>
      </w:r>
      <w:r w:rsidRPr="00F65DBB">
        <w:rPr>
          <w:rFonts w:ascii="Arial Narrow" w:eastAsia="Times" w:hAnsi="Arial Narrow"/>
          <w:b/>
          <w:color w:val="C00000"/>
          <w:vertAlign w:val="superscript"/>
        </w:rPr>
        <w:t xml:space="preserve"> </w:t>
      </w:r>
      <w:r w:rsidR="009809A4" w:rsidRPr="00591ADD">
        <w:rPr>
          <w:rFonts w:ascii="Arial Narrow" w:eastAsia="Times" w:hAnsi="Arial Narrow"/>
          <w:b/>
          <w:color w:val="C00000"/>
          <w:vertAlign w:val="superscript"/>
        </w:rPr>
        <w:t>2</w:t>
      </w:r>
      <w:r w:rsidR="008153B4" w:rsidRPr="00591ADD">
        <w:rPr>
          <w:rFonts w:ascii="Arial Narrow" w:eastAsia="Times" w:hAnsi="Arial Narrow"/>
          <w:b/>
          <w:color w:val="C00000"/>
        </w:rPr>
        <w:t xml:space="preserve">, </w:t>
      </w:r>
      <w:proofErr w:type="spellStart"/>
      <w:r w:rsidRPr="00F65DBB">
        <w:rPr>
          <w:rFonts w:ascii="Arial Narrow" w:eastAsia="Times" w:hAnsi="Arial Narrow"/>
          <w:b/>
          <w:color w:val="C00000"/>
          <w:lang w:val="en-US"/>
        </w:rPr>
        <w:t>Zaenab</w:t>
      </w:r>
      <w:proofErr w:type="spellEnd"/>
      <w:r w:rsidRPr="00F65DBB">
        <w:rPr>
          <w:rFonts w:ascii="Arial Narrow" w:eastAsia="Times" w:hAnsi="Arial Narrow"/>
          <w:b/>
          <w:color w:val="C00000"/>
          <w:lang w:val="en-US"/>
        </w:rPr>
        <w:t xml:space="preserve"> </w:t>
      </w:r>
      <w:proofErr w:type="spellStart"/>
      <w:r w:rsidRPr="00F65DBB">
        <w:rPr>
          <w:rFonts w:ascii="Arial Narrow" w:eastAsia="Times" w:hAnsi="Arial Narrow"/>
          <w:b/>
          <w:color w:val="C00000"/>
          <w:lang w:val="en-US"/>
        </w:rPr>
        <w:t>Amatillah</w:t>
      </w:r>
      <w:proofErr w:type="spellEnd"/>
      <w:r w:rsidRPr="00F65DBB">
        <w:rPr>
          <w:rFonts w:ascii="Arial Narrow" w:eastAsia="Times" w:hAnsi="Arial Narrow"/>
          <w:b/>
          <w:color w:val="C00000"/>
          <w:lang w:val="en-US"/>
        </w:rPr>
        <w:t xml:space="preserve"> </w:t>
      </w:r>
      <w:proofErr w:type="spellStart"/>
      <w:r w:rsidRPr="00F65DBB">
        <w:rPr>
          <w:rFonts w:ascii="Arial Narrow" w:eastAsia="Times" w:hAnsi="Arial Narrow"/>
          <w:b/>
          <w:color w:val="C00000"/>
          <w:lang w:val="en-US"/>
        </w:rPr>
        <w:t>Rodhiyyah</w:t>
      </w:r>
      <w:proofErr w:type="spellEnd"/>
      <w:r>
        <w:rPr>
          <w:rFonts w:ascii="Arial Narrow" w:eastAsia="Times" w:hAnsi="Arial Narrow"/>
          <w:b/>
          <w:color w:val="C00000"/>
          <w:vertAlign w:val="superscript"/>
        </w:rPr>
        <w:t>3</w:t>
      </w:r>
      <w:r>
        <w:rPr>
          <w:rFonts w:ascii="Arial Narrow" w:eastAsia="Times" w:hAnsi="Arial Narrow"/>
          <w:b/>
          <w:color w:val="C00000"/>
          <w:lang w:val="en-US"/>
        </w:rPr>
        <w:t xml:space="preserve">, </w:t>
      </w:r>
      <w:proofErr w:type="spellStart"/>
      <w:r>
        <w:rPr>
          <w:rFonts w:ascii="Arial Narrow" w:eastAsia="Times" w:hAnsi="Arial Narrow"/>
          <w:b/>
          <w:color w:val="C00000"/>
          <w:lang w:val="en-US"/>
        </w:rPr>
        <w:t>Cucu</w:t>
      </w:r>
      <w:proofErr w:type="spellEnd"/>
      <w:r>
        <w:rPr>
          <w:rFonts w:ascii="Arial Narrow" w:eastAsia="Times" w:hAnsi="Arial Narrow"/>
          <w:b/>
          <w:color w:val="C00000"/>
          <w:lang w:val="en-US"/>
        </w:rPr>
        <w:t xml:space="preserve"> </w:t>
      </w:r>
      <w:proofErr w:type="spellStart"/>
      <w:r>
        <w:rPr>
          <w:rFonts w:ascii="Arial Narrow" w:eastAsia="Times" w:hAnsi="Arial Narrow"/>
          <w:b/>
          <w:color w:val="C00000"/>
          <w:lang w:val="en-US"/>
        </w:rPr>
        <w:t>Kurniasih</w:t>
      </w:r>
      <w:proofErr w:type="spellEnd"/>
      <w:r>
        <w:rPr>
          <w:rFonts w:ascii="Arial Narrow" w:eastAsia="Times" w:hAnsi="Arial Narrow"/>
          <w:b/>
          <w:color w:val="C00000"/>
          <w:vertAlign w:val="superscript"/>
        </w:rPr>
        <w:t>4</w:t>
      </w:r>
    </w:p>
    <w:p w14:paraId="1345F13F" w14:textId="710B7345" w:rsidR="00274BE6" w:rsidRPr="00F65DBB" w:rsidRDefault="00F65DBB" w:rsidP="00D85551">
      <w:pPr>
        <w:jc w:val="center"/>
        <w:rPr>
          <w:vertAlign w:val="superscript"/>
        </w:rPr>
      </w:pPr>
      <w:r>
        <w:rPr>
          <w:rFonts w:eastAsia="Times"/>
          <w:sz w:val="18"/>
          <w:szCs w:val="18"/>
        </w:rPr>
        <w:t>Universitas Ahmad Dahlan</w:t>
      </w:r>
      <w:r>
        <w:rPr>
          <w:rFonts w:eastAsia="Times"/>
          <w:sz w:val="18"/>
          <w:szCs w:val="18"/>
          <w:vertAlign w:val="superscript"/>
        </w:rPr>
        <w:t>1,2,3,4</w:t>
      </w:r>
    </w:p>
    <w:p w14:paraId="7D44C836" w14:textId="2DFF10FB" w:rsidR="00274BE6" w:rsidRPr="00245754" w:rsidRDefault="008153B4" w:rsidP="00245754">
      <w:pPr>
        <w:pBdr>
          <w:top w:val="single" w:sz="4" w:space="1" w:color="auto"/>
          <w:bottom w:val="single" w:sz="4" w:space="1" w:color="auto"/>
        </w:pBdr>
        <w:spacing w:before="400" w:after="120"/>
        <w:ind w:left="567" w:right="567"/>
        <w:jc w:val="both"/>
        <w:rPr>
          <w:rFonts w:eastAsia="Times"/>
          <w:sz w:val="18"/>
          <w:szCs w:val="18"/>
          <w:lang w:val="en-US"/>
        </w:rPr>
      </w:pPr>
      <w:r w:rsidRPr="0042530D">
        <w:rPr>
          <w:rFonts w:eastAsia="Times"/>
          <w:b/>
          <w:sz w:val="18"/>
          <w:szCs w:val="18"/>
        </w:rPr>
        <w:t>Abstract.</w:t>
      </w:r>
      <w:r w:rsidRPr="0042530D">
        <w:rPr>
          <w:rFonts w:eastAsia="Times"/>
          <w:sz w:val="18"/>
          <w:szCs w:val="18"/>
        </w:rPr>
        <w:t xml:space="preserve"> </w:t>
      </w:r>
      <w:r w:rsidR="00245754" w:rsidRPr="00245754">
        <w:rPr>
          <w:rFonts w:eastAsia="Times"/>
          <w:sz w:val="18"/>
          <w:szCs w:val="18"/>
          <w:lang w:val="en-US"/>
        </w:rPr>
        <w:t>This study aimed to determine the description of psychological well-being in students of the Faculty of Teacher Training and Education, Ahmad Dahlan University. It is undeniable that the COVID-19 pandemic has brought many changes and problems from various aspects, including the psychological aspect. For college students, a crucial psychological aspect is psychological well-being, which contributes to academic success and life. The results showed that of the 318 respondents, the highest category was 151 people (47.48%), the middle category was 91 people (28.62%), the exceptionally high category was 57 (17.92%), the exceptionally high category was low as many as 16 people (5.03%), and deficient category as many as three people (0.94%). So that the overall picture of Ahmad Dahlan University FKIP students is in the medium category.</w:t>
      </w:r>
    </w:p>
    <w:p w14:paraId="52C1C703" w14:textId="02765C46" w:rsidR="00274BE6" w:rsidRPr="00CF7B69" w:rsidRDefault="008153B4" w:rsidP="00627C32">
      <w:pPr>
        <w:spacing w:before="400" w:after="120"/>
        <w:ind w:left="567" w:right="567"/>
        <w:jc w:val="both"/>
        <w:rPr>
          <w:rFonts w:eastAsia="Times"/>
          <w:sz w:val="18"/>
          <w:szCs w:val="18"/>
        </w:rPr>
      </w:pPr>
      <w:r w:rsidRPr="00CF7B69">
        <w:rPr>
          <w:rFonts w:eastAsia="Times"/>
          <w:b/>
          <w:sz w:val="18"/>
          <w:szCs w:val="18"/>
        </w:rPr>
        <w:t xml:space="preserve">Keywords: </w:t>
      </w:r>
      <w:r w:rsidR="00393A9B" w:rsidRPr="009834A8">
        <w:rPr>
          <w:rFonts w:eastAsia="Times"/>
          <w:i/>
          <w:iCs/>
          <w:sz w:val="18"/>
          <w:szCs w:val="18"/>
        </w:rPr>
        <w:t>Psychological Well-Being, Pandemic Covid-19, Student College</w:t>
      </w:r>
    </w:p>
    <w:p w14:paraId="58316ABB" w14:textId="56DB2824" w:rsidR="00ED52B4" w:rsidRPr="003562AF" w:rsidRDefault="00AD5E5C" w:rsidP="00245754">
      <w:pPr>
        <w:spacing w:before="120" w:after="120"/>
        <w:ind w:left="567" w:right="567"/>
        <w:jc w:val="both"/>
        <w:rPr>
          <w:sz w:val="16"/>
          <w:szCs w:val="18"/>
        </w:rPr>
      </w:pPr>
      <w:r w:rsidRPr="003562AF">
        <w:rPr>
          <w:sz w:val="16"/>
          <w:szCs w:val="18"/>
        </w:rPr>
        <w:t>Correspondence author:</w:t>
      </w:r>
      <w:r w:rsidR="00245754">
        <w:rPr>
          <w:sz w:val="16"/>
          <w:szCs w:val="18"/>
        </w:rPr>
        <w:t xml:space="preserve"> Dody Hartanto, </w:t>
      </w:r>
      <w:hyperlink r:id="rId7" w:history="1">
        <w:r w:rsidR="00245754" w:rsidRPr="00245754">
          <w:rPr>
            <w:rStyle w:val="Hyperlink"/>
            <w:color w:val="2F5496" w:themeColor="accent1" w:themeShade="BF"/>
            <w:sz w:val="16"/>
          </w:rPr>
          <w:t>dody.hartanto@bk.uad.ac.id</w:t>
        </w:r>
      </w:hyperlink>
      <w:r w:rsidR="00245754">
        <w:rPr>
          <w:sz w:val="16"/>
          <w:szCs w:val="18"/>
        </w:rPr>
        <w:t>, Yogyakarta, and Indonesia</w:t>
      </w:r>
    </w:p>
    <w:p w14:paraId="775B524C" w14:textId="3F2343A2" w:rsidR="00AD5E5C" w:rsidRPr="001E41B0" w:rsidRDefault="003E1B70" w:rsidP="008F0B2C">
      <w:pPr>
        <w:pBdr>
          <w:bottom w:val="single" w:sz="4" w:space="1" w:color="auto"/>
        </w:pBdr>
        <w:spacing w:before="120" w:after="120"/>
        <w:ind w:left="567" w:right="567"/>
        <w:jc w:val="both"/>
        <w:rPr>
          <w:rFonts w:ascii="Bahnschrift Light" w:hAnsi="Bahnschrift Light"/>
          <w:sz w:val="18"/>
          <w:szCs w:val="18"/>
        </w:rPr>
      </w:pPr>
      <w:r>
        <w:rPr>
          <w:rFonts w:ascii="Bahnschrift Light" w:hAnsi="Bahnschrift Light"/>
          <w:noProof/>
          <w:sz w:val="14"/>
          <w:szCs w:val="18"/>
          <w:lang w:val="en-US" w:eastAsia="en-US"/>
        </w:rPr>
        <w:drawing>
          <wp:anchor distT="0" distB="0" distL="114300" distR="114300" simplePos="0" relativeHeight="251664384" behindDoc="0" locked="0" layoutInCell="1" allowOverlap="1" wp14:anchorId="5D482FDB" wp14:editId="636243A2">
            <wp:simplePos x="0" y="0"/>
            <wp:positionH relativeFrom="column">
              <wp:posOffset>342265</wp:posOffset>
            </wp:positionH>
            <wp:positionV relativeFrom="paragraph">
              <wp:posOffset>18310</wp:posOffset>
            </wp:positionV>
            <wp:extent cx="401955" cy="8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ative_commons_licens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899" cy="88089"/>
                    </a:xfrm>
                    <a:prstGeom prst="rect">
                      <a:avLst/>
                    </a:prstGeom>
                  </pic:spPr>
                </pic:pic>
              </a:graphicData>
            </a:graphic>
            <wp14:sizeRelH relativeFrom="margin">
              <wp14:pctWidth>0</wp14:pctWidth>
            </wp14:sizeRelH>
            <wp14:sizeRelV relativeFrom="margin">
              <wp14:pctHeight>0</wp14:pctHeight>
            </wp14:sizeRelV>
          </wp:anchor>
        </w:drawing>
      </w:r>
      <w:r w:rsidR="00F1041C">
        <w:rPr>
          <w:rFonts w:ascii="Bahnschrift Light" w:hAnsi="Bahnschrift Light"/>
          <w:sz w:val="14"/>
          <w:szCs w:val="18"/>
        </w:rPr>
        <w:t xml:space="preserve">                        </w:t>
      </w:r>
      <w:r w:rsidR="003562AF">
        <w:rPr>
          <w:rFonts w:ascii="Bahnschrift Light" w:hAnsi="Bahnschrift Light"/>
          <w:sz w:val="14"/>
          <w:szCs w:val="18"/>
        </w:rPr>
        <w:t xml:space="preserve">   </w:t>
      </w:r>
      <w:r w:rsidR="00CF7B69" w:rsidRPr="001E41B0">
        <w:rPr>
          <w:rFonts w:ascii="Bahnschrift Light" w:hAnsi="Bahnschrift Light"/>
          <w:sz w:val="14"/>
          <w:szCs w:val="18"/>
        </w:rPr>
        <w:t>This work is licensed under a CC-BY-NC</w:t>
      </w:r>
    </w:p>
    <w:p w14:paraId="7B4E18B8" w14:textId="11BEA6E0" w:rsidR="000E32E8" w:rsidRPr="00E750E2" w:rsidRDefault="008153B4" w:rsidP="000E32E8">
      <w:pPr>
        <w:keepNext/>
        <w:keepLines/>
        <w:tabs>
          <w:tab w:val="left" w:pos="454"/>
        </w:tabs>
        <w:spacing w:before="520" w:after="280"/>
        <w:jc w:val="both"/>
        <w:rPr>
          <w:rFonts w:ascii="Arial" w:eastAsia="Times" w:hAnsi="Arial" w:cs="Arial"/>
          <w:color w:val="1F4E79" w:themeColor="accent5" w:themeShade="80"/>
          <w:sz w:val="24"/>
          <w:szCs w:val="24"/>
        </w:rPr>
      </w:pPr>
      <w:r w:rsidRPr="00C32C31">
        <w:rPr>
          <w:rFonts w:ascii="Arial" w:eastAsia="Times" w:hAnsi="Arial" w:cs="Arial"/>
          <w:b/>
          <w:color w:val="1F4E79" w:themeColor="accent5" w:themeShade="80"/>
          <w:sz w:val="24"/>
          <w:szCs w:val="24"/>
        </w:rPr>
        <w:t>Introduction</w:t>
      </w:r>
    </w:p>
    <w:p w14:paraId="041807BB" w14:textId="36AFFFBB" w:rsidR="00F65DBB" w:rsidRPr="00F65DBB" w:rsidRDefault="00F67D2A" w:rsidP="00F65DBB">
      <w:pPr>
        <w:ind w:firstLine="284"/>
        <w:jc w:val="both"/>
        <w:rPr>
          <w:rFonts w:eastAsia="Times"/>
          <w:lang w:val="en-US"/>
        </w:rPr>
      </w:pPr>
      <w:r w:rsidRPr="00F67D2A">
        <w:rPr>
          <w:rFonts w:eastAsia="Times"/>
          <w:lang w:val="en-US"/>
        </w:rPr>
        <w:t>The Covid-19 pandemic has impacted various aspects of human life (Evans, 2020). Significant changes in the interaction pattern both within the scope of work and lectures make many people need to adapt again. This is because the Ministry of Education and Culture has enacted a policy of working from home and school from home to prevent the increasingly massive spread of the virus (MOEC, 2020). This condition requires workers and students to integrate technology in every activity and reduce the need to interact directly face to face.</w:t>
      </w:r>
    </w:p>
    <w:p w14:paraId="327BFDD0" w14:textId="77777777" w:rsidR="00F67D2A" w:rsidRDefault="00F67D2A" w:rsidP="00F65DBB">
      <w:pPr>
        <w:ind w:firstLine="284"/>
        <w:jc w:val="both"/>
        <w:rPr>
          <w:rFonts w:eastAsia="Times"/>
          <w:lang w:val="en-US"/>
        </w:rPr>
      </w:pPr>
      <w:r w:rsidRPr="00F67D2A">
        <w:rPr>
          <w:rFonts w:eastAsia="Times"/>
          <w:lang w:val="en-US"/>
        </w:rPr>
        <w:t xml:space="preserve">At the student level, learning patterns previously carried out face-to-face on campus must now be replaced with online classes that utilize technology and internet networks (Amal, 2019). The existence of this situation causes several problems that are experienced by many students, stress, anxiety, symptoms of depression, eating problems, and other psychological problems are increasing (Hartanto et al., 2021). Changes in interaction patterns in the learning process also impact the psychological well-being of students. During the Covid-19 pandemic, there was a decline in psychological well-being, especially in terms of autonomy and positive relationships with other individuals, as evidenced by surveys conducted in several countries such as India, which showed only 29.8% of people aged 21-60 years. Who have psychological well-being at a reasonable level during the pandemic (Raju et al., 2021). Another survey conducted on students in Australia showed that 33.8% had a low level of psychological well-being, and 31.5% was in the deficient category. The survey also shows that undergraduate students have lower psychological well-being than postgraduate students (Dodd et al., 2021). In another study beginning the pandemic, students' psychological well-being level was higher than in the middle </w:t>
      </w:r>
      <w:r w:rsidRPr="00F67D2A">
        <w:rPr>
          <w:rFonts w:eastAsia="Times"/>
          <w:lang w:val="en-US"/>
        </w:rPr>
        <w:lastRenderedPageBreak/>
        <w:t>of the pandemic (Fernandez, 2020). The decline in the level of psychological well-being resulting from the implementation of the lockdown occurred in students who needed drugs as a coping effort and students who showed dissatisfaction with the online learning model (Idowu, 2020).</w:t>
      </w:r>
    </w:p>
    <w:p w14:paraId="29C15A78" w14:textId="77777777" w:rsidR="00F67D2A" w:rsidRDefault="00F67D2A" w:rsidP="00F65DBB">
      <w:pPr>
        <w:ind w:firstLine="284"/>
        <w:jc w:val="both"/>
        <w:rPr>
          <w:rFonts w:eastAsia="Times"/>
          <w:lang w:val="en-US"/>
        </w:rPr>
      </w:pPr>
      <w:r w:rsidRPr="00F67D2A">
        <w:rPr>
          <w:rFonts w:eastAsia="Times"/>
          <w:lang w:val="en-US"/>
        </w:rPr>
        <w:t>Students need psychological well-being because they have a solid attachment to students' academic achievements. The higher the student's psychological well-being, the better the academic achievement obtained. This is because with good and fulfilled psychological well-being, students can work and study more effectively to fulfil academic achievements optimally. However, if students' psychological well-being is at a low level or is not met, it can result in low academic achievement (Mustafa, 2020).</w:t>
      </w:r>
    </w:p>
    <w:p w14:paraId="4CEF98A3" w14:textId="1DB00179" w:rsidR="00F65DBB" w:rsidRPr="007B2E09" w:rsidRDefault="00F67D2A" w:rsidP="00F65DBB">
      <w:pPr>
        <w:ind w:firstLine="284"/>
        <w:jc w:val="both"/>
        <w:rPr>
          <w:rFonts w:eastAsia="Times"/>
          <w:lang w:val="en-US"/>
        </w:rPr>
      </w:pPr>
      <w:r w:rsidRPr="007B2E09">
        <w:rPr>
          <w:rFonts w:eastAsia="Times"/>
          <w:lang w:val="en-US"/>
        </w:rPr>
        <w:t>Psychological well-being can be characterized by obtaining happiness, life satisfaction, and the absence of symptoms of depression. A person with good and fulfilled psychological well-being will feel life satisfaction, enjoy life, and be able to think positively (</w:t>
      </w:r>
      <w:proofErr w:type="spellStart"/>
      <w:r w:rsidRPr="007B2E09">
        <w:rPr>
          <w:rFonts w:eastAsia="Times"/>
          <w:lang w:val="en-US"/>
        </w:rPr>
        <w:t>Kusumawati</w:t>
      </w:r>
      <w:proofErr w:type="spellEnd"/>
      <w:r w:rsidRPr="007B2E09">
        <w:rPr>
          <w:rFonts w:eastAsia="Times"/>
          <w:lang w:val="en-US"/>
        </w:rPr>
        <w:t xml:space="preserve">, 2021). The description of the characteristics of a person who has psychological well-being refers to Rogers' theory of people who can function fully or is called a fully-functioning person, Maslow's theory of self-actualization or self-actualization, Allport's theory of the concept of maturity, Jung's theory of individuation, and the theory of Erikson regarding individuals who achieve integration rather than despair (Halim &amp; </w:t>
      </w:r>
      <w:proofErr w:type="spellStart"/>
      <w:r w:rsidRPr="007B2E09">
        <w:rPr>
          <w:rFonts w:eastAsia="Times"/>
          <w:lang w:val="en-US"/>
        </w:rPr>
        <w:t>Dariyo</w:t>
      </w:r>
      <w:proofErr w:type="spellEnd"/>
      <w:r w:rsidRPr="007B2E09">
        <w:rPr>
          <w:rFonts w:eastAsia="Times"/>
          <w:lang w:val="en-US"/>
        </w:rPr>
        <w:t xml:space="preserve">, 2016). According to </w:t>
      </w:r>
      <w:proofErr w:type="spellStart"/>
      <w:r w:rsidRPr="007B2E09">
        <w:rPr>
          <w:rFonts w:eastAsia="Times"/>
          <w:lang w:val="en-US"/>
        </w:rPr>
        <w:t>Ryff</w:t>
      </w:r>
      <w:proofErr w:type="spellEnd"/>
      <w:r w:rsidRPr="007B2E09">
        <w:rPr>
          <w:rFonts w:eastAsia="Times"/>
          <w:lang w:val="en-US"/>
        </w:rPr>
        <w:t xml:space="preserve"> (1989), psychological well-being is a concept that relates to what a person feels about the activities carried out in daily life and how to express personal feelings about what is felt as a result of the life experiences they experience.</w:t>
      </w:r>
      <w:r w:rsidR="00F65DBB" w:rsidRPr="007B2E09">
        <w:rPr>
          <w:rFonts w:eastAsia="Times"/>
          <w:lang w:val="en-US"/>
        </w:rPr>
        <w:t xml:space="preserve"> </w:t>
      </w:r>
    </w:p>
    <w:p w14:paraId="7BF57918" w14:textId="1DDDFB8F" w:rsidR="00F65DBB" w:rsidRDefault="007B2E09" w:rsidP="007B2E09">
      <w:pPr>
        <w:ind w:firstLine="284"/>
        <w:jc w:val="both"/>
        <w:rPr>
          <w:rFonts w:eastAsia="Times"/>
        </w:rPr>
      </w:pPr>
      <w:proofErr w:type="spellStart"/>
      <w:r w:rsidRPr="007B2E09">
        <w:rPr>
          <w:rFonts w:eastAsia="Times"/>
          <w:lang w:val="en-US"/>
        </w:rPr>
        <w:t>Ryff</w:t>
      </w:r>
      <w:proofErr w:type="spellEnd"/>
      <w:r w:rsidRPr="007B2E09">
        <w:rPr>
          <w:rFonts w:eastAsia="Times"/>
          <w:lang w:val="en-US"/>
        </w:rPr>
        <w:t xml:space="preserve"> (2014) also argues that psychological well-being is the optimization of the achievement of a person's psychological condition in which the person has meaning and purpose in life, can live life according to personal wishes, understands and accepts himself, has deep relationships with other individuals, manage the surrounding situation well, and be able to recognize and use his talents and potential to the fullest. According to </w:t>
      </w:r>
      <w:proofErr w:type="spellStart"/>
      <w:r w:rsidRPr="007B2E09">
        <w:rPr>
          <w:rFonts w:eastAsia="Times"/>
          <w:lang w:val="en-US"/>
        </w:rPr>
        <w:t>Ryff</w:t>
      </w:r>
      <w:proofErr w:type="spellEnd"/>
      <w:r w:rsidRPr="007B2E09">
        <w:rPr>
          <w:rFonts w:eastAsia="Times"/>
          <w:lang w:val="en-US"/>
        </w:rPr>
        <w:t xml:space="preserve"> (1989; Halim &amp; </w:t>
      </w:r>
      <w:proofErr w:type="spellStart"/>
      <w:r w:rsidRPr="007B2E09">
        <w:rPr>
          <w:rFonts w:eastAsia="Times"/>
          <w:lang w:val="en-US"/>
        </w:rPr>
        <w:t>Dariyo</w:t>
      </w:r>
      <w:proofErr w:type="spellEnd"/>
      <w:r w:rsidRPr="007B2E09">
        <w:rPr>
          <w:rFonts w:eastAsia="Times"/>
          <w:lang w:val="en-US"/>
        </w:rPr>
        <w:t>, 2016), there are six dimensions in psychological well-being, namely self-acceptance, autonomy, purpose in life, personal growth, relationships positive relations with others (positive relations with others), and self-control (environmental mastery). Several factors that influence psychological well-being are gender, age, culture, social and economic status (</w:t>
      </w:r>
      <w:proofErr w:type="spellStart"/>
      <w:r w:rsidRPr="007B2E09">
        <w:rPr>
          <w:rFonts w:eastAsia="Times"/>
          <w:lang w:val="en-US"/>
        </w:rPr>
        <w:t>Ryff</w:t>
      </w:r>
      <w:proofErr w:type="spellEnd"/>
      <w:r w:rsidRPr="007B2E09">
        <w:rPr>
          <w:rFonts w:eastAsia="Times"/>
          <w:lang w:val="en-US"/>
        </w:rPr>
        <w:t>, 1995), religiosity (</w:t>
      </w:r>
      <w:proofErr w:type="spellStart"/>
      <w:r w:rsidRPr="007B2E09">
        <w:rPr>
          <w:rFonts w:eastAsia="Times"/>
          <w:lang w:val="en-US"/>
        </w:rPr>
        <w:t>Linawati</w:t>
      </w:r>
      <w:proofErr w:type="spellEnd"/>
      <w:r w:rsidRPr="007B2E09">
        <w:rPr>
          <w:rFonts w:eastAsia="Times"/>
          <w:lang w:val="en-US"/>
        </w:rPr>
        <w:t xml:space="preserve"> &amp; </w:t>
      </w:r>
      <w:proofErr w:type="spellStart"/>
      <w:r w:rsidRPr="007B2E09">
        <w:rPr>
          <w:rFonts w:eastAsia="Times"/>
          <w:lang w:val="en-US"/>
        </w:rPr>
        <w:t>Desiningrum</w:t>
      </w:r>
      <w:proofErr w:type="spellEnd"/>
      <w:r w:rsidRPr="007B2E09">
        <w:rPr>
          <w:rFonts w:eastAsia="Times"/>
          <w:lang w:val="en-US"/>
        </w:rPr>
        <w:t>, 2017), mindfulness (</w:t>
      </w:r>
      <w:proofErr w:type="spellStart"/>
      <w:r w:rsidRPr="007B2E09">
        <w:rPr>
          <w:rFonts w:eastAsia="Times"/>
          <w:lang w:val="en-US"/>
        </w:rPr>
        <w:t>Awaliyah</w:t>
      </w:r>
      <w:proofErr w:type="spellEnd"/>
      <w:r w:rsidRPr="007B2E09">
        <w:rPr>
          <w:rFonts w:eastAsia="Times"/>
          <w:lang w:val="en-US"/>
        </w:rPr>
        <w:t xml:space="preserve"> et al., 2017), and social support (Eva et al., 2020). Based on the description of psychological well-being above, this article will discuss psychological well-being for students of the Faculty of Teacher Training and Education at Ahmad Dahlan University, Yogyakarta.</w:t>
      </w:r>
    </w:p>
    <w:p w14:paraId="7BD3EBEC" w14:textId="10ED8186" w:rsidR="00A7765F" w:rsidRPr="00393A9B" w:rsidRDefault="000E32E8" w:rsidP="00393A9B">
      <w:pPr>
        <w:keepNext/>
        <w:keepLines/>
        <w:tabs>
          <w:tab w:val="left" w:pos="454"/>
        </w:tabs>
        <w:spacing w:before="520" w:after="280"/>
        <w:jc w:val="both"/>
        <w:rPr>
          <w:rFonts w:ascii="Arial" w:eastAsia="Times" w:hAnsi="Arial" w:cs="Arial"/>
          <w:color w:val="1F4E79" w:themeColor="accent5" w:themeShade="80"/>
          <w:sz w:val="24"/>
          <w:szCs w:val="24"/>
        </w:rPr>
      </w:pPr>
      <w:r w:rsidRPr="00C32C31">
        <w:rPr>
          <w:rFonts w:ascii="Arial" w:eastAsia="Times" w:hAnsi="Arial" w:cs="Arial"/>
          <w:b/>
          <w:color w:val="1F4E79" w:themeColor="accent5" w:themeShade="80"/>
          <w:sz w:val="24"/>
          <w:szCs w:val="24"/>
        </w:rPr>
        <w:t>Method</w:t>
      </w:r>
    </w:p>
    <w:p w14:paraId="0AF5F480" w14:textId="353D62E3" w:rsidR="00A7765F" w:rsidRPr="00A7765F" w:rsidRDefault="00A7765F" w:rsidP="00A7765F">
      <w:pPr>
        <w:tabs>
          <w:tab w:val="left" w:pos="454"/>
        </w:tabs>
        <w:spacing w:before="240" w:after="240"/>
        <w:rPr>
          <w:rFonts w:eastAsia="Times"/>
          <w:color w:val="auto"/>
          <w:szCs w:val="24"/>
        </w:rPr>
      </w:pPr>
      <w:r>
        <w:rPr>
          <w:rFonts w:ascii="Arial" w:eastAsia="Times" w:hAnsi="Arial" w:cs="Arial"/>
          <w:b/>
          <w:color w:val="1F4E79" w:themeColor="accent5" w:themeShade="80"/>
          <w:szCs w:val="24"/>
        </w:rPr>
        <w:tab/>
      </w:r>
      <w:r w:rsidR="00393A9B">
        <w:rPr>
          <w:rFonts w:ascii="Arial" w:eastAsia="Times" w:hAnsi="Arial" w:cs="Arial"/>
          <w:b/>
          <w:color w:val="1F4E79" w:themeColor="accent5" w:themeShade="80"/>
          <w:szCs w:val="24"/>
        </w:rPr>
        <w:t>Par</w:t>
      </w:r>
      <w:r w:rsidRPr="00A7765F">
        <w:rPr>
          <w:rFonts w:ascii="Arial" w:eastAsia="Times" w:hAnsi="Arial" w:cs="Arial"/>
          <w:b/>
          <w:color w:val="1F4E79" w:themeColor="accent5" w:themeShade="80"/>
          <w:szCs w:val="24"/>
        </w:rPr>
        <w:t>icipants</w:t>
      </w:r>
    </w:p>
    <w:p w14:paraId="5C1DC856" w14:textId="5FDA2988" w:rsidR="006704AA" w:rsidRDefault="007B2E09" w:rsidP="00A7765F">
      <w:pPr>
        <w:ind w:left="426" w:firstLine="284"/>
        <w:jc w:val="both"/>
        <w:rPr>
          <w:rFonts w:eastAsia="Times"/>
          <w:color w:val="auto"/>
          <w:szCs w:val="24"/>
        </w:rPr>
      </w:pPr>
      <w:r w:rsidRPr="007B2E09">
        <w:rPr>
          <w:rFonts w:eastAsia="Times"/>
          <w:color w:val="auto"/>
          <w:szCs w:val="24"/>
        </w:rPr>
        <w:t>The subjects in this study were students of the Faculty of Teacher Training and Education, Ahmad Dahlan University. Subjects are students in semesters 3 and 5, as many as 1980 people.</w:t>
      </w:r>
    </w:p>
    <w:p w14:paraId="6E874CD1" w14:textId="5A90BC55" w:rsidR="00A7765F" w:rsidRPr="00A7765F" w:rsidRDefault="00A7765F" w:rsidP="00A7765F">
      <w:pPr>
        <w:tabs>
          <w:tab w:val="left" w:pos="454"/>
        </w:tabs>
        <w:spacing w:before="240" w:after="240"/>
        <w:rPr>
          <w:rFonts w:eastAsia="Times"/>
          <w:color w:val="auto"/>
          <w:szCs w:val="24"/>
        </w:rPr>
      </w:pPr>
      <w:r>
        <w:rPr>
          <w:rFonts w:ascii="Arial" w:eastAsia="Times" w:hAnsi="Arial" w:cs="Arial"/>
          <w:b/>
          <w:color w:val="1F4E79" w:themeColor="accent5" w:themeShade="80"/>
          <w:szCs w:val="24"/>
        </w:rPr>
        <w:tab/>
      </w:r>
      <w:r w:rsidRPr="00A7765F">
        <w:rPr>
          <w:rFonts w:ascii="Arial" w:eastAsia="Times" w:hAnsi="Arial" w:cs="Arial"/>
          <w:b/>
          <w:color w:val="1F4E79" w:themeColor="accent5" w:themeShade="80"/>
          <w:szCs w:val="24"/>
        </w:rPr>
        <w:t>Sampling</w:t>
      </w:r>
      <w:r w:rsidRPr="00A7765F">
        <w:rPr>
          <w:rFonts w:eastAsia="Times"/>
          <w:color w:val="auto"/>
          <w:szCs w:val="24"/>
        </w:rPr>
        <w:t xml:space="preserve"> </w:t>
      </w:r>
      <w:r w:rsidRPr="00A7765F">
        <w:rPr>
          <w:rFonts w:ascii="Arial" w:eastAsia="Times" w:hAnsi="Arial" w:cs="Arial"/>
          <w:b/>
          <w:color w:val="1F4E79" w:themeColor="accent5" w:themeShade="80"/>
          <w:szCs w:val="24"/>
        </w:rPr>
        <w:t>Procedures</w:t>
      </w:r>
    </w:p>
    <w:p w14:paraId="7D95EE7A" w14:textId="477BCDA6" w:rsidR="006704AA" w:rsidRPr="006704AA" w:rsidRDefault="007B2E09" w:rsidP="00A7765F">
      <w:pPr>
        <w:ind w:left="426" w:firstLine="284"/>
        <w:jc w:val="both"/>
        <w:rPr>
          <w:rFonts w:eastAsia="Times"/>
          <w:color w:val="auto"/>
          <w:szCs w:val="24"/>
        </w:rPr>
      </w:pPr>
      <w:r w:rsidRPr="007B2E09">
        <w:rPr>
          <w:rFonts w:eastAsia="Times"/>
          <w:color w:val="auto"/>
          <w:szCs w:val="24"/>
        </w:rPr>
        <w:t>The technique used to determine the sample is to use accidental sampling using google forms. So that the results obtained as many as 318 respondents. The time will be from 1 to 10 October 2021.</w:t>
      </w:r>
      <w:r w:rsidR="006704AA">
        <w:rPr>
          <w:rFonts w:eastAsia="Times"/>
          <w:i/>
          <w:color w:val="auto"/>
          <w:szCs w:val="24"/>
        </w:rPr>
        <w:t xml:space="preserve"> </w:t>
      </w:r>
    </w:p>
    <w:p w14:paraId="579AD972" w14:textId="01030EC6" w:rsidR="00A7765F" w:rsidRPr="00A7765F" w:rsidRDefault="00A7765F" w:rsidP="00A7765F">
      <w:pPr>
        <w:ind w:left="426" w:firstLine="284"/>
        <w:jc w:val="both"/>
        <w:rPr>
          <w:rFonts w:eastAsia="Times"/>
          <w:color w:val="auto"/>
          <w:szCs w:val="24"/>
        </w:rPr>
      </w:pPr>
    </w:p>
    <w:p w14:paraId="6A94DD6D" w14:textId="6D5A78DA" w:rsidR="00A7765F" w:rsidRPr="00A7765F" w:rsidRDefault="00A7765F" w:rsidP="00A7765F">
      <w:pPr>
        <w:tabs>
          <w:tab w:val="left" w:pos="454"/>
        </w:tabs>
        <w:spacing w:before="240" w:after="240"/>
        <w:rPr>
          <w:rFonts w:eastAsia="Times"/>
          <w:color w:val="auto"/>
          <w:szCs w:val="24"/>
        </w:rPr>
      </w:pPr>
      <w:r>
        <w:rPr>
          <w:rFonts w:ascii="Arial" w:eastAsia="Times" w:hAnsi="Arial" w:cs="Arial"/>
          <w:b/>
          <w:color w:val="1F4E79" w:themeColor="accent5" w:themeShade="80"/>
          <w:szCs w:val="24"/>
        </w:rPr>
        <w:tab/>
      </w:r>
      <w:r w:rsidRPr="00A7765F">
        <w:rPr>
          <w:rFonts w:ascii="Arial" w:eastAsia="Times" w:hAnsi="Arial" w:cs="Arial"/>
          <w:b/>
          <w:color w:val="1F4E79" w:themeColor="accent5" w:themeShade="80"/>
          <w:szCs w:val="24"/>
        </w:rPr>
        <w:t>Materials</w:t>
      </w:r>
      <w:r w:rsidRPr="00A7765F">
        <w:rPr>
          <w:rFonts w:eastAsia="Times"/>
          <w:color w:val="auto"/>
          <w:szCs w:val="24"/>
        </w:rPr>
        <w:t xml:space="preserve"> </w:t>
      </w:r>
      <w:r w:rsidRPr="00A7765F">
        <w:rPr>
          <w:rFonts w:ascii="Arial" w:eastAsia="Times" w:hAnsi="Arial" w:cs="Arial"/>
          <w:b/>
          <w:color w:val="1F4E79" w:themeColor="accent5" w:themeShade="80"/>
          <w:szCs w:val="24"/>
        </w:rPr>
        <w:t>and</w:t>
      </w:r>
      <w:r w:rsidRPr="00A7765F">
        <w:rPr>
          <w:rFonts w:eastAsia="Times"/>
          <w:color w:val="auto"/>
          <w:szCs w:val="24"/>
        </w:rPr>
        <w:t xml:space="preserve"> </w:t>
      </w:r>
      <w:r w:rsidRPr="00A7765F">
        <w:rPr>
          <w:rFonts w:ascii="Arial" w:eastAsia="Times" w:hAnsi="Arial" w:cs="Arial"/>
          <w:b/>
          <w:color w:val="1F4E79" w:themeColor="accent5" w:themeShade="80"/>
          <w:szCs w:val="24"/>
        </w:rPr>
        <w:t>Apparatus</w:t>
      </w:r>
    </w:p>
    <w:p w14:paraId="42DB2281" w14:textId="5C0B3D85" w:rsidR="006704AA" w:rsidRPr="007E573D" w:rsidRDefault="007B2E09" w:rsidP="00A7765F">
      <w:pPr>
        <w:ind w:left="426" w:firstLine="284"/>
        <w:jc w:val="both"/>
        <w:rPr>
          <w:rFonts w:eastAsia="Times"/>
          <w:color w:val="auto"/>
          <w:szCs w:val="24"/>
        </w:rPr>
      </w:pPr>
      <w:r w:rsidRPr="007B2E09">
        <w:rPr>
          <w:rFonts w:eastAsia="Times"/>
          <w:color w:val="auto"/>
          <w:szCs w:val="24"/>
          <w:lang w:val="en-US"/>
        </w:rPr>
        <w:lastRenderedPageBreak/>
        <w:t xml:space="preserve">The method used in this research is a survey method using google form. The instrument used is </w:t>
      </w:r>
      <w:proofErr w:type="spellStart"/>
      <w:r w:rsidRPr="007B2E09">
        <w:rPr>
          <w:rFonts w:eastAsia="Times"/>
          <w:color w:val="auto"/>
          <w:szCs w:val="24"/>
          <w:lang w:val="en-US"/>
        </w:rPr>
        <w:t>Ryff's</w:t>
      </w:r>
      <w:proofErr w:type="spellEnd"/>
      <w:r w:rsidRPr="007B2E09">
        <w:rPr>
          <w:rFonts w:eastAsia="Times"/>
          <w:color w:val="auto"/>
          <w:szCs w:val="24"/>
          <w:lang w:val="en-US"/>
        </w:rPr>
        <w:t xml:space="preserve"> Psychological Well-Being (RPWB) scale adapted into Indonesian by Amalia (2016). This RPWB scale measures six dimensions of psychological well-being, including (1) self-acceptance; (2) positive relationships with others; (3) autonomy; (4) personal growth; (5) environmental mastery; and (6) purpose of life.</w:t>
      </w:r>
    </w:p>
    <w:p w14:paraId="47709C2C" w14:textId="44881D9A" w:rsidR="00A7765F" w:rsidRPr="00A7765F" w:rsidRDefault="00A7765F" w:rsidP="00A7765F">
      <w:pPr>
        <w:tabs>
          <w:tab w:val="left" w:pos="454"/>
        </w:tabs>
        <w:spacing w:before="240" w:after="240"/>
        <w:rPr>
          <w:rFonts w:eastAsia="Times"/>
          <w:color w:val="auto"/>
          <w:szCs w:val="24"/>
        </w:rPr>
      </w:pPr>
      <w:r>
        <w:rPr>
          <w:rFonts w:ascii="Arial" w:eastAsia="Times" w:hAnsi="Arial" w:cs="Arial"/>
          <w:b/>
          <w:color w:val="1F4E79" w:themeColor="accent5" w:themeShade="80"/>
          <w:szCs w:val="24"/>
        </w:rPr>
        <w:tab/>
      </w:r>
      <w:r w:rsidRPr="00A7765F">
        <w:rPr>
          <w:rFonts w:ascii="Arial" w:eastAsia="Times" w:hAnsi="Arial" w:cs="Arial"/>
          <w:b/>
          <w:color w:val="1F4E79" w:themeColor="accent5" w:themeShade="80"/>
          <w:szCs w:val="24"/>
        </w:rPr>
        <w:t>Procedures</w:t>
      </w:r>
      <w:r w:rsidRPr="00A7765F">
        <w:rPr>
          <w:rFonts w:eastAsia="Times"/>
          <w:color w:val="auto"/>
          <w:szCs w:val="24"/>
        </w:rPr>
        <w:t xml:space="preserve"> </w:t>
      </w:r>
    </w:p>
    <w:p w14:paraId="34E46A33" w14:textId="60FA2B8E" w:rsidR="007E573D" w:rsidRPr="007E573D" w:rsidRDefault="007B2E09" w:rsidP="00A7765F">
      <w:pPr>
        <w:ind w:left="426" w:firstLine="284"/>
        <w:jc w:val="both"/>
        <w:rPr>
          <w:rFonts w:eastAsia="Times"/>
          <w:color w:val="auto"/>
          <w:szCs w:val="24"/>
        </w:rPr>
      </w:pPr>
      <w:r w:rsidRPr="007B2E09">
        <w:rPr>
          <w:rFonts w:eastAsia="Times"/>
          <w:color w:val="auto"/>
          <w:szCs w:val="24"/>
        </w:rPr>
        <w:t>The Ryff's Psychological Well-Being (RPWB) scale was distributed using google form media to students of the Teacher Training and Education Faculty from 1 to 10 October 2021. Then data were obtained from 318 respondents.</w:t>
      </w:r>
    </w:p>
    <w:p w14:paraId="727C3A9D" w14:textId="2B18A22C" w:rsidR="00A7765F" w:rsidRPr="00A7765F" w:rsidRDefault="00A7765F" w:rsidP="00A7765F">
      <w:pPr>
        <w:ind w:left="426" w:firstLine="284"/>
        <w:jc w:val="both"/>
        <w:rPr>
          <w:rFonts w:eastAsia="Times"/>
          <w:color w:val="auto"/>
          <w:szCs w:val="24"/>
        </w:rPr>
      </w:pPr>
    </w:p>
    <w:p w14:paraId="22E19BA3" w14:textId="32DB6C8E" w:rsidR="00A7765F" w:rsidRPr="00A7765F" w:rsidRDefault="00A7765F" w:rsidP="007E573D">
      <w:pPr>
        <w:tabs>
          <w:tab w:val="left" w:pos="454"/>
        </w:tabs>
        <w:spacing w:before="240" w:after="240"/>
        <w:ind w:left="426"/>
        <w:rPr>
          <w:rFonts w:eastAsia="Times"/>
          <w:color w:val="auto"/>
          <w:szCs w:val="24"/>
        </w:rPr>
      </w:pPr>
      <w:r w:rsidRPr="00A7765F">
        <w:rPr>
          <w:rFonts w:ascii="Arial" w:eastAsia="Times" w:hAnsi="Arial" w:cs="Arial"/>
          <w:b/>
          <w:color w:val="1F4E79" w:themeColor="accent5" w:themeShade="80"/>
          <w:szCs w:val="24"/>
        </w:rPr>
        <w:t>Data</w:t>
      </w:r>
      <w:r w:rsidRPr="00A7765F">
        <w:rPr>
          <w:rFonts w:eastAsia="Times"/>
          <w:color w:val="auto"/>
          <w:szCs w:val="24"/>
        </w:rPr>
        <w:t xml:space="preserve"> </w:t>
      </w:r>
      <w:r w:rsidRPr="00A7765F">
        <w:rPr>
          <w:rFonts w:ascii="Arial" w:eastAsia="Times" w:hAnsi="Arial" w:cs="Arial"/>
          <w:b/>
          <w:color w:val="1F4E79" w:themeColor="accent5" w:themeShade="80"/>
          <w:szCs w:val="24"/>
        </w:rPr>
        <w:t>Analysis</w:t>
      </w:r>
    </w:p>
    <w:p w14:paraId="2B568FE7" w14:textId="10FBB6E9" w:rsidR="007E573D" w:rsidRDefault="007B2E09" w:rsidP="00A7765F">
      <w:pPr>
        <w:ind w:left="426" w:firstLine="284"/>
        <w:jc w:val="both"/>
        <w:rPr>
          <w:rFonts w:eastAsia="Times"/>
          <w:color w:val="auto"/>
          <w:szCs w:val="24"/>
        </w:rPr>
      </w:pPr>
      <w:r w:rsidRPr="007B2E09">
        <w:rPr>
          <w:rFonts w:eastAsia="Times"/>
          <w:color w:val="auto"/>
          <w:szCs w:val="24"/>
        </w:rPr>
        <w:t>The data obtained from the scale distribution was then processed using descriptive data analysis, namely, descriptive statistics to describe the results of the scale distribution. The analysis results obtained data in the form of the mean and median, which were then used as the basis for determining the category of students' psychological well-being. So that the final result can be obtained an overview of the level of psychological well being in students of the Faculty of Teacher Training and Education, Ahmad Dahlan University.</w:t>
      </w:r>
    </w:p>
    <w:p w14:paraId="144239C9" w14:textId="3A716832" w:rsidR="00AE75A6" w:rsidRPr="00C32C31" w:rsidRDefault="00F65DBB">
      <w:pPr>
        <w:keepNext/>
        <w:keepLines/>
        <w:tabs>
          <w:tab w:val="left" w:pos="454"/>
        </w:tabs>
        <w:spacing w:before="520" w:after="280"/>
        <w:jc w:val="both"/>
        <w:rPr>
          <w:rFonts w:ascii="Arial" w:hAnsi="Arial" w:cs="Arial"/>
          <w:color w:val="1F4E79" w:themeColor="accent5" w:themeShade="80"/>
        </w:rPr>
      </w:pPr>
      <w:r>
        <w:rPr>
          <w:rFonts w:ascii="Arial" w:eastAsia="Times" w:hAnsi="Arial" w:cs="Arial"/>
          <w:b/>
          <w:color w:val="1F4E79" w:themeColor="accent5" w:themeShade="80"/>
          <w:sz w:val="24"/>
          <w:szCs w:val="24"/>
        </w:rPr>
        <w:t>Result and Discussion</w:t>
      </w:r>
    </w:p>
    <w:p w14:paraId="606FA8A5" w14:textId="035AEC9C" w:rsidR="00F65DBB" w:rsidRPr="00F65DBB" w:rsidRDefault="007B2E09" w:rsidP="00F65DBB">
      <w:pPr>
        <w:spacing w:after="240"/>
        <w:ind w:firstLine="357"/>
        <w:jc w:val="both"/>
        <w:rPr>
          <w:rFonts w:eastAsia="Times"/>
          <w:lang w:val="en-US"/>
        </w:rPr>
      </w:pPr>
      <w:r>
        <w:rPr>
          <w:rStyle w:val="Emphasis"/>
          <w:color w:val="0E101A"/>
        </w:rPr>
        <w:t>Psychological well-being</w:t>
      </w:r>
      <w:r>
        <w:t> can be defined as personal satisfaction with aspects of life that are owned so that happiness and peace are obtained or termed psychological well-being (Hardjo &amp; Novita, 2015). Psychological well-being is subjective, meaning that everyone has a different perspective on happiness itself, cannot be generalized, and will affect the level of psychological well-being in each individual. This is supported by Fitriani's opinion (2016), which states that currently, no one has been able to describe the meaning of happiness with certainty because it is very subjective; everyone has their way and reason to feel happy.</w:t>
      </w:r>
    </w:p>
    <w:p w14:paraId="5A1490C1" w14:textId="375C1B23" w:rsidR="00393A9B" w:rsidRPr="007B2E09" w:rsidRDefault="007B2E09" w:rsidP="007B2E09">
      <w:pPr>
        <w:spacing w:after="240"/>
        <w:ind w:firstLine="357"/>
        <w:jc w:val="both"/>
        <w:rPr>
          <w:rFonts w:eastAsia="Times"/>
        </w:rPr>
      </w:pPr>
      <w:r w:rsidRPr="007B2E09">
        <w:rPr>
          <w:rFonts w:eastAsia="Times"/>
          <w:lang w:val="en-US"/>
        </w:rPr>
        <w:t>So, this study aims to describe the level of psychological well-being in students of the Faculty of Teacher Training and Education at Ahmad Dahlan University. The study results involving 318 student respondents from the Faculty of Teacher Training and Education, Ahmad Dahlan University, showed the following results.</w:t>
      </w:r>
    </w:p>
    <w:p w14:paraId="3226F4E6" w14:textId="717575F8" w:rsidR="00F65DBB" w:rsidRPr="00F65DBB" w:rsidRDefault="00F65DBB" w:rsidP="00F65DBB">
      <w:pPr>
        <w:spacing w:after="240"/>
        <w:ind w:firstLine="357"/>
        <w:jc w:val="center"/>
        <w:rPr>
          <w:rFonts w:eastAsia="Times"/>
          <w:lang w:val="en-US"/>
        </w:rPr>
      </w:pPr>
      <w:r w:rsidRPr="00F65DBB">
        <w:rPr>
          <w:rFonts w:eastAsia="Times"/>
          <w:lang w:val="en-US"/>
        </w:rPr>
        <w:t xml:space="preserve">Tabel.1 </w:t>
      </w:r>
      <w:r w:rsidR="007B2E09" w:rsidRPr="007B2E09">
        <w:rPr>
          <w:rFonts w:eastAsia="Times"/>
          <w:lang w:val="en-US"/>
        </w:rPr>
        <w:t>Data Analysis Results</w:t>
      </w:r>
    </w:p>
    <w:tbl>
      <w:tblPr>
        <w:tblStyle w:val="TableGrid"/>
        <w:tblW w:w="0" w:type="auto"/>
        <w:tblInd w:w="959" w:type="dxa"/>
        <w:tblBorders>
          <w:insideV w:val="none" w:sz="0" w:space="0" w:color="auto"/>
        </w:tblBorders>
        <w:tblLook w:val="04A0" w:firstRow="1" w:lastRow="0" w:firstColumn="1" w:lastColumn="0" w:noHBand="0" w:noVBand="1"/>
      </w:tblPr>
      <w:tblGrid>
        <w:gridCol w:w="1253"/>
        <w:gridCol w:w="1355"/>
        <w:gridCol w:w="1377"/>
        <w:gridCol w:w="1289"/>
        <w:gridCol w:w="1364"/>
      </w:tblGrid>
      <w:tr w:rsidR="00F65DBB" w:rsidRPr="00F65DBB" w14:paraId="3889CA3D" w14:textId="77777777" w:rsidTr="00F65DBB">
        <w:tc>
          <w:tcPr>
            <w:tcW w:w="1253" w:type="dxa"/>
            <w:tcBorders>
              <w:left w:val="nil"/>
            </w:tcBorders>
          </w:tcPr>
          <w:p w14:paraId="1B8DE80F" w14:textId="77777777" w:rsidR="00F65DBB" w:rsidRPr="00F65DBB" w:rsidRDefault="00F65DBB" w:rsidP="00F65DBB">
            <w:pPr>
              <w:spacing w:after="240"/>
              <w:ind w:firstLine="357"/>
              <w:jc w:val="both"/>
              <w:rPr>
                <w:rFonts w:eastAsia="Times"/>
                <w:b/>
                <w:lang w:val="sv-SE"/>
              </w:rPr>
            </w:pPr>
            <w:r w:rsidRPr="00F65DBB">
              <w:rPr>
                <w:rFonts w:eastAsia="Times"/>
                <w:b/>
                <w:lang w:val="sv-SE"/>
              </w:rPr>
              <w:t>Mean</w:t>
            </w:r>
          </w:p>
        </w:tc>
        <w:tc>
          <w:tcPr>
            <w:tcW w:w="1355" w:type="dxa"/>
          </w:tcPr>
          <w:p w14:paraId="2E0C4C62" w14:textId="77777777" w:rsidR="00F65DBB" w:rsidRPr="00F65DBB" w:rsidRDefault="00F65DBB" w:rsidP="00F65DBB">
            <w:pPr>
              <w:spacing w:after="240"/>
              <w:ind w:firstLine="357"/>
              <w:jc w:val="both"/>
              <w:rPr>
                <w:rFonts w:eastAsia="Times"/>
                <w:b/>
                <w:lang w:val="sv-SE"/>
              </w:rPr>
            </w:pPr>
            <w:r w:rsidRPr="00F65DBB">
              <w:rPr>
                <w:rFonts w:eastAsia="Times"/>
                <w:b/>
                <w:lang w:val="sv-SE"/>
              </w:rPr>
              <w:t>Median</w:t>
            </w:r>
          </w:p>
        </w:tc>
        <w:tc>
          <w:tcPr>
            <w:tcW w:w="1377" w:type="dxa"/>
          </w:tcPr>
          <w:p w14:paraId="28DB29A3" w14:textId="03A8D198" w:rsidR="00F65DBB" w:rsidRPr="00F65DBB" w:rsidRDefault="007B2E09" w:rsidP="00393A9B">
            <w:pPr>
              <w:spacing w:after="240"/>
              <w:jc w:val="both"/>
              <w:rPr>
                <w:rFonts w:eastAsia="Times"/>
                <w:b/>
                <w:lang w:val="sv-SE"/>
              </w:rPr>
            </w:pPr>
            <w:r w:rsidRPr="007B2E09">
              <w:rPr>
                <w:rFonts w:eastAsia="Times"/>
                <w:b/>
                <w:lang w:val="sv-SE"/>
              </w:rPr>
              <w:t>Standard Deviation</w:t>
            </w:r>
          </w:p>
        </w:tc>
        <w:tc>
          <w:tcPr>
            <w:tcW w:w="1289" w:type="dxa"/>
          </w:tcPr>
          <w:p w14:paraId="7AD92A7A" w14:textId="7C6A236B" w:rsidR="00F65DBB" w:rsidRPr="00F65DBB" w:rsidRDefault="007B2E09" w:rsidP="007B2E09">
            <w:pPr>
              <w:spacing w:after="240"/>
              <w:jc w:val="center"/>
              <w:rPr>
                <w:rFonts w:eastAsia="Times"/>
                <w:b/>
                <w:lang w:val="sv-SE"/>
              </w:rPr>
            </w:pPr>
            <w:r w:rsidRPr="007B2E09">
              <w:rPr>
                <w:rFonts w:eastAsia="Times"/>
                <w:b/>
                <w:lang w:val="sv-SE"/>
              </w:rPr>
              <w:t>Minimum Value</w:t>
            </w:r>
          </w:p>
        </w:tc>
        <w:tc>
          <w:tcPr>
            <w:tcW w:w="1364" w:type="dxa"/>
            <w:tcBorders>
              <w:right w:val="nil"/>
            </w:tcBorders>
          </w:tcPr>
          <w:p w14:paraId="6F712C01" w14:textId="77777777" w:rsidR="007B2E09" w:rsidRDefault="00F65DBB" w:rsidP="007B2E09">
            <w:pPr>
              <w:jc w:val="center"/>
              <w:rPr>
                <w:rFonts w:eastAsia="Times"/>
                <w:b/>
                <w:lang w:val="sv-SE"/>
              </w:rPr>
            </w:pPr>
            <w:r w:rsidRPr="00F65DBB">
              <w:rPr>
                <w:rFonts w:eastAsia="Times"/>
                <w:b/>
                <w:lang w:val="sv-SE"/>
              </w:rPr>
              <w:t>Maksimum</w:t>
            </w:r>
          </w:p>
          <w:p w14:paraId="783F8978" w14:textId="4F98A6F5" w:rsidR="007B2E09" w:rsidRPr="00F65DBB" w:rsidRDefault="007B2E09" w:rsidP="007B2E09">
            <w:pPr>
              <w:jc w:val="center"/>
              <w:rPr>
                <w:rFonts w:eastAsia="Times"/>
                <w:b/>
                <w:lang w:val="sv-SE"/>
              </w:rPr>
            </w:pPr>
            <w:r>
              <w:rPr>
                <w:rFonts w:eastAsia="Times"/>
                <w:b/>
                <w:lang w:val="sv-SE"/>
              </w:rPr>
              <w:t>Value</w:t>
            </w:r>
          </w:p>
        </w:tc>
      </w:tr>
      <w:tr w:rsidR="00F65DBB" w:rsidRPr="00F65DBB" w14:paraId="34857289" w14:textId="77777777" w:rsidTr="00F65DBB">
        <w:trPr>
          <w:trHeight w:val="356"/>
        </w:trPr>
        <w:tc>
          <w:tcPr>
            <w:tcW w:w="1253" w:type="dxa"/>
            <w:tcBorders>
              <w:left w:val="nil"/>
            </w:tcBorders>
          </w:tcPr>
          <w:p w14:paraId="19205390" w14:textId="77777777" w:rsidR="00F65DBB" w:rsidRPr="00F65DBB" w:rsidRDefault="00F65DBB" w:rsidP="00F65DBB">
            <w:pPr>
              <w:spacing w:after="240"/>
              <w:ind w:firstLine="357"/>
              <w:jc w:val="both"/>
              <w:rPr>
                <w:rFonts w:eastAsia="Times"/>
                <w:lang w:val="sv-SE"/>
              </w:rPr>
            </w:pPr>
            <w:r w:rsidRPr="00F65DBB">
              <w:rPr>
                <w:rFonts w:eastAsia="Times"/>
                <w:lang w:val="sv-SE"/>
              </w:rPr>
              <w:t>85,59</w:t>
            </w:r>
          </w:p>
        </w:tc>
        <w:tc>
          <w:tcPr>
            <w:tcW w:w="1355" w:type="dxa"/>
          </w:tcPr>
          <w:p w14:paraId="08328725" w14:textId="77777777" w:rsidR="00F65DBB" w:rsidRPr="00F65DBB" w:rsidRDefault="00F65DBB" w:rsidP="00F65DBB">
            <w:pPr>
              <w:spacing w:after="240"/>
              <w:ind w:firstLine="357"/>
              <w:jc w:val="both"/>
              <w:rPr>
                <w:rFonts w:eastAsia="Times"/>
                <w:lang w:val="sv-SE"/>
              </w:rPr>
            </w:pPr>
            <w:r w:rsidRPr="00F65DBB">
              <w:rPr>
                <w:rFonts w:eastAsia="Times"/>
                <w:lang w:val="sv-SE"/>
              </w:rPr>
              <w:t>96</w:t>
            </w:r>
          </w:p>
        </w:tc>
        <w:tc>
          <w:tcPr>
            <w:tcW w:w="1377" w:type="dxa"/>
          </w:tcPr>
          <w:p w14:paraId="15774307" w14:textId="77777777" w:rsidR="00F65DBB" w:rsidRPr="00F65DBB" w:rsidRDefault="00F65DBB" w:rsidP="00F65DBB">
            <w:pPr>
              <w:spacing w:after="240"/>
              <w:ind w:firstLine="357"/>
              <w:jc w:val="both"/>
              <w:rPr>
                <w:rFonts w:eastAsia="Times"/>
                <w:lang w:val="sv-SE"/>
              </w:rPr>
            </w:pPr>
            <w:r w:rsidRPr="00F65DBB">
              <w:rPr>
                <w:rFonts w:eastAsia="Times"/>
                <w:lang w:val="sv-SE"/>
              </w:rPr>
              <w:t>13,26</w:t>
            </w:r>
          </w:p>
        </w:tc>
        <w:tc>
          <w:tcPr>
            <w:tcW w:w="1289" w:type="dxa"/>
          </w:tcPr>
          <w:p w14:paraId="1B5319F2" w14:textId="77777777" w:rsidR="00F65DBB" w:rsidRPr="00F65DBB" w:rsidRDefault="00F65DBB" w:rsidP="00F65DBB">
            <w:pPr>
              <w:spacing w:after="240"/>
              <w:ind w:firstLine="357"/>
              <w:jc w:val="both"/>
              <w:rPr>
                <w:rFonts w:eastAsia="Times"/>
                <w:lang w:val="sv-SE"/>
              </w:rPr>
            </w:pPr>
            <w:r w:rsidRPr="00F65DBB">
              <w:rPr>
                <w:rFonts w:eastAsia="Times"/>
                <w:lang w:val="sv-SE"/>
              </w:rPr>
              <w:t>48</w:t>
            </w:r>
          </w:p>
        </w:tc>
        <w:tc>
          <w:tcPr>
            <w:tcW w:w="1364" w:type="dxa"/>
            <w:tcBorders>
              <w:right w:val="nil"/>
            </w:tcBorders>
          </w:tcPr>
          <w:p w14:paraId="5E170771" w14:textId="77777777" w:rsidR="00F65DBB" w:rsidRPr="00F65DBB" w:rsidRDefault="00F65DBB" w:rsidP="00F65DBB">
            <w:pPr>
              <w:spacing w:after="240"/>
              <w:ind w:firstLine="357"/>
              <w:jc w:val="both"/>
              <w:rPr>
                <w:rFonts w:eastAsia="Times"/>
                <w:lang w:val="sv-SE"/>
              </w:rPr>
            </w:pPr>
            <w:r w:rsidRPr="00F65DBB">
              <w:rPr>
                <w:rFonts w:eastAsia="Times"/>
                <w:lang w:val="sv-SE"/>
              </w:rPr>
              <w:t>125</w:t>
            </w:r>
          </w:p>
        </w:tc>
      </w:tr>
    </w:tbl>
    <w:p w14:paraId="32B14087" w14:textId="77777777" w:rsidR="00F65DBB" w:rsidRDefault="00F65DBB" w:rsidP="00866AE1">
      <w:pPr>
        <w:spacing w:after="240"/>
        <w:ind w:firstLine="357"/>
        <w:jc w:val="both"/>
        <w:rPr>
          <w:rFonts w:eastAsia="Times"/>
          <w:lang w:val="id-ID"/>
        </w:rPr>
      </w:pPr>
    </w:p>
    <w:p w14:paraId="3EEF2A12" w14:textId="21EE3E5D" w:rsidR="00F65DBB" w:rsidRDefault="007B2E09" w:rsidP="00866AE1">
      <w:pPr>
        <w:spacing w:after="240"/>
        <w:ind w:firstLine="357"/>
        <w:jc w:val="both"/>
        <w:rPr>
          <w:rFonts w:eastAsia="Times"/>
          <w:lang w:val="en-US"/>
        </w:rPr>
      </w:pPr>
      <w:r w:rsidRPr="007B2E09">
        <w:rPr>
          <w:rFonts w:eastAsia="Times"/>
          <w:lang w:val="id-ID"/>
        </w:rPr>
        <w:t>Based on Table 1 above, it can be seen that the average psychological well being of research subjects is at a value of 85.59 and a median of 96 which means moderate, with a minimum-maximum value of 48 and 125 and a standard deviation of 13.26. While the description of the frequency of each category is as follows.</w:t>
      </w:r>
    </w:p>
    <w:p w14:paraId="04B54F3A" w14:textId="79B626B8" w:rsidR="00F65DBB" w:rsidRPr="00F65DBB" w:rsidRDefault="00F65DBB" w:rsidP="00F65DBB">
      <w:pPr>
        <w:spacing w:after="240"/>
        <w:ind w:firstLine="357"/>
        <w:jc w:val="center"/>
        <w:rPr>
          <w:rFonts w:eastAsia="Times"/>
          <w:lang w:val="en-US"/>
        </w:rPr>
      </w:pPr>
      <w:proofErr w:type="spellStart"/>
      <w:r w:rsidRPr="00F65DBB">
        <w:rPr>
          <w:rFonts w:eastAsia="Times"/>
          <w:lang w:val="en-US"/>
        </w:rPr>
        <w:lastRenderedPageBreak/>
        <w:t>Tabel</w:t>
      </w:r>
      <w:proofErr w:type="spellEnd"/>
      <w:r w:rsidRPr="00F65DBB">
        <w:rPr>
          <w:rFonts w:eastAsia="Times"/>
          <w:lang w:val="en-US"/>
        </w:rPr>
        <w:t xml:space="preserve">. 2. </w:t>
      </w:r>
      <w:r w:rsidR="007B2E09" w:rsidRPr="007B2E09">
        <w:rPr>
          <w:rFonts w:eastAsia="Times"/>
          <w:lang w:val="en-US"/>
        </w:rPr>
        <w:t>Psychological Well Being Level Description</w:t>
      </w:r>
    </w:p>
    <w:tbl>
      <w:tblPr>
        <w:tblStyle w:val="TableGrid"/>
        <w:tblW w:w="3786" w:type="pct"/>
        <w:tblInd w:w="988" w:type="dxa"/>
        <w:tblBorders>
          <w:left w:val="none" w:sz="0" w:space="0" w:color="auto"/>
          <w:right w:val="none" w:sz="0" w:space="0" w:color="auto"/>
          <w:insideV w:val="none" w:sz="0" w:space="0" w:color="auto"/>
        </w:tblBorders>
        <w:tblLook w:val="04A0" w:firstRow="1" w:lastRow="0" w:firstColumn="1" w:lastColumn="0" w:noHBand="0" w:noVBand="1"/>
      </w:tblPr>
      <w:tblGrid>
        <w:gridCol w:w="1262"/>
        <w:gridCol w:w="1489"/>
        <w:gridCol w:w="1484"/>
        <w:gridCol w:w="1517"/>
      </w:tblGrid>
      <w:tr w:rsidR="00F65DBB" w:rsidRPr="00F65DBB" w14:paraId="1AE2C84C" w14:textId="77777777" w:rsidTr="00F65DBB">
        <w:tc>
          <w:tcPr>
            <w:tcW w:w="1097" w:type="pct"/>
            <w:vAlign w:val="center"/>
          </w:tcPr>
          <w:p w14:paraId="3AAD2363" w14:textId="77777777" w:rsidR="00F65DBB" w:rsidRPr="00F65DBB" w:rsidRDefault="00F65DBB" w:rsidP="00F65DBB">
            <w:pPr>
              <w:spacing w:after="240"/>
              <w:ind w:firstLine="357"/>
              <w:jc w:val="both"/>
              <w:rPr>
                <w:rFonts w:eastAsia="Times"/>
                <w:b/>
                <w:lang w:val="id-ID"/>
              </w:rPr>
            </w:pPr>
            <w:r w:rsidRPr="00F65DBB">
              <w:rPr>
                <w:rFonts w:eastAsia="Times"/>
                <w:b/>
                <w:lang w:val="id-ID"/>
              </w:rPr>
              <w:t>Interval</w:t>
            </w:r>
          </w:p>
        </w:tc>
        <w:tc>
          <w:tcPr>
            <w:tcW w:w="1371" w:type="pct"/>
          </w:tcPr>
          <w:p w14:paraId="1F33531A" w14:textId="62BB5A96" w:rsidR="00F65DBB" w:rsidRPr="00F65DBB" w:rsidRDefault="007B2E09" w:rsidP="00F65DBB">
            <w:pPr>
              <w:spacing w:after="240"/>
              <w:ind w:firstLine="357"/>
              <w:jc w:val="both"/>
              <w:rPr>
                <w:rFonts w:eastAsia="Times"/>
                <w:b/>
                <w:lang w:val="en-US"/>
              </w:rPr>
            </w:pPr>
            <w:proofErr w:type="spellStart"/>
            <w:r>
              <w:rPr>
                <w:rFonts w:eastAsia="Times"/>
                <w:b/>
                <w:lang w:val="en-US"/>
              </w:rPr>
              <w:t>C</w:t>
            </w:r>
            <w:r w:rsidR="00F65DBB" w:rsidRPr="00F65DBB">
              <w:rPr>
                <w:rFonts w:eastAsia="Times"/>
                <w:b/>
                <w:lang w:val="en-US"/>
              </w:rPr>
              <w:t>ategori</w:t>
            </w:r>
            <w:proofErr w:type="spellEnd"/>
          </w:p>
        </w:tc>
        <w:tc>
          <w:tcPr>
            <w:tcW w:w="1242" w:type="pct"/>
            <w:vAlign w:val="center"/>
          </w:tcPr>
          <w:p w14:paraId="0F07C086" w14:textId="24964B3D" w:rsidR="00F65DBB" w:rsidRPr="00F65DBB" w:rsidRDefault="007B2E09" w:rsidP="00F65DBB">
            <w:pPr>
              <w:spacing w:after="240"/>
              <w:ind w:firstLine="357"/>
              <w:jc w:val="both"/>
              <w:rPr>
                <w:rFonts w:eastAsia="Times"/>
                <w:b/>
                <w:lang w:val="id-ID"/>
              </w:rPr>
            </w:pPr>
            <w:r w:rsidRPr="007B2E09">
              <w:rPr>
                <w:rFonts w:eastAsia="Times"/>
                <w:b/>
                <w:lang w:val="id-ID"/>
              </w:rPr>
              <w:t>Frequency</w:t>
            </w:r>
          </w:p>
        </w:tc>
        <w:tc>
          <w:tcPr>
            <w:tcW w:w="1290" w:type="pct"/>
            <w:vAlign w:val="center"/>
          </w:tcPr>
          <w:p w14:paraId="3771915F" w14:textId="6A59DFE1" w:rsidR="00F65DBB" w:rsidRPr="00F65DBB" w:rsidRDefault="007B2E09" w:rsidP="00F65DBB">
            <w:pPr>
              <w:spacing w:after="240"/>
              <w:ind w:firstLine="357"/>
              <w:jc w:val="both"/>
              <w:rPr>
                <w:rFonts w:eastAsia="Times"/>
                <w:b/>
                <w:lang w:val="id-ID"/>
              </w:rPr>
            </w:pPr>
            <w:r w:rsidRPr="007B2E09">
              <w:rPr>
                <w:rFonts w:eastAsia="Times"/>
                <w:b/>
                <w:lang w:val="id-ID"/>
              </w:rPr>
              <w:t>Percentage</w:t>
            </w:r>
          </w:p>
        </w:tc>
      </w:tr>
      <w:tr w:rsidR="00F65DBB" w:rsidRPr="00F65DBB" w14:paraId="144A2727" w14:textId="77777777" w:rsidTr="00F65DBB">
        <w:tc>
          <w:tcPr>
            <w:tcW w:w="1097" w:type="pct"/>
            <w:vAlign w:val="center"/>
          </w:tcPr>
          <w:p w14:paraId="092ADCD6" w14:textId="77777777" w:rsidR="00F65DBB" w:rsidRPr="00F65DBB" w:rsidRDefault="00F65DBB" w:rsidP="00F65DBB">
            <w:pPr>
              <w:spacing w:after="240"/>
              <w:ind w:firstLine="357"/>
              <w:jc w:val="both"/>
              <w:rPr>
                <w:rFonts w:eastAsia="Times"/>
                <w:lang w:val="en-US"/>
              </w:rPr>
            </w:pPr>
            <w:r w:rsidRPr="00F65DBB">
              <w:rPr>
                <w:rFonts w:eastAsia="Times"/>
                <w:lang w:val="en-US"/>
              </w:rPr>
              <w:t>33-58</w:t>
            </w:r>
          </w:p>
        </w:tc>
        <w:tc>
          <w:tcPr>
            <w:tcW w:w="1371" w:type="pct"/>
          </w:tcPr>
          <w:p w14:paraId="4C66AD52" w14:textId="420A6B4F" w:rsidR="00F65DBB" w:rsidRPr="00F65DBB" w:rsidRDefault="001B2961" w:rsidP="001B2961">
            <w:pPr>
              <w:spacing w:after="240"/>
              <w:jc w:val="center"/>
              <w:rPr>
                <w:rFonts w:eastAsia="Times"/>
                <w:lang w:val="en-US"/>
              </w:rPr>
            </w:pPr>
            <w:r>
              <w:rPr>
                <w:rFonts w:eastAsia="Times"/>
                <w:lang w:val="en-US"/>
              </w:rPr>
              <w:t>Shallow</w:t>
            </w:r>
          </w:p>
        </w:tc>
        <w:tc>
          <w:tcPr>
            <w:tcW w:w="1242" w:type="pct"/>
            <w:vAlign w:val="center"/>
          </w:tcPr>
          <w:p w14:paraId="1A1409BE" w14:textId="77777777" w:rsidR="00F65DBB" w:rsidRPr="00F65DBB" w:rsidRDefault="00F65DBB" w:rsidP="00F65DBB">
            <w:pPr>
              <w:spacing w:after="240"/>
              <w:ind w:firstLine="357"/>
              <w:jc w:val="both"/>
              <w:rPr>
                <w:rFonts w:eastAsia="Times"/>
                <w:lang w:val="en-US"/>
              </w:rPr>
            </w:pPr>
            <w:r w:rsidRPr="00F65DBB">
              <w:rPr>
                <w:rFonts w:eastAsia="Times"/>
                <w:lang w:val="en-US"/>
              </w:rPr>
              <w:t>3</w:t>
            </w:r>
          </w:p>
        </w:tc>
        <w:tc>
          <w:tcPr>
            <w:tcW w:w="1290" w:type="pct"/>
            <w:vAlign w:val="center"/>
          </w:tcPr>
          <w:p w14:paraId="0DC68788" w14:textId="77777777" w:rsidR="00F65DBB" w:rsidRPr="00F65DBB" w:rsidRDefault="00F65DBB" w:rsidP="00F65DBB">
            <w:pPr>
              <w:spacing w:after="240"/>
              <w:ind w:firstLine="357"/>
              <w:jc w:val="both"/>
              <w:rPr>
                <w:rFonts w:eastAsia="Times"/>
                <w:lang w:val="en-US"/>
              </w:rPr>
            </w:pPr>
            <w:r w:rsidRPr="00F65DBB">
              <w:rPr>
                <w:rFonts w:eastAsia="Times"/>
                <w:lang w:val="en-US"/>
              </w:rPr>
              <w:t>0,94%</w:t>
            </w:r>
          </w:p>
        </w:tc>
      </w:tr>
      <w:tr w:rsidR="00F65DBB" w:rsidRPr="00F65DBB" w14:paraId="6E507ECE" w14:textId="77777777" w:rsidTr="00F65DBB">
        <w:tc>
          <w:tcPr>
            <w:tcW w:w="1097" w:type="pct"/>
            <w:vAlign w:val="center"/>
          </w:tcPr>
          <w:p w14:paraId="7BCCC63A" w14:textId="77777777" w:rsidR="00F65DBB" w:rsidRPr="00F65DBB" w:rsidRDefault="00F65DBB" w:rsidP="00F65DBB">
            <w:pPr>
              <w:spacing w:after="240"/>
              <w:ind w:firstLine="357"/>
              <w:jc w:val="both"/>
              <w:rPr>
                <w:rFonts w:eastAsia="Times"/>
                <w:lang w:val="en-US"/>
              </w:rPr>
            </w:pPr>
            <w:r w:rsidRPr="00F65DBB">
              <w:rPr>
                <w:rFonts w:eastAsia="Times"/>
                <w:lang w:val="en-US"/>
              </w:rPr>
              <w:t>59-74</w:t>
            </w:r>
          </w:p>
        </w:tc>
        <w:tc>
          <w:tcPr>
            <w:tcW w:w="1371" w:type="pct"/>
          </w:tcPr>
          <w:p w14:paraId="79DD8EB6" w14:textId="1F8DCF1C" w:rsidR="00F65DBB" w:rsidRPr="00F65DBB" w:rsidRDefault="001B2961" w:rsidP="00F65DBB">
            <w:pPr>
              <w:spacing w:after="240"/>
              <w:ind w:firstLine="357"/>
              <w:jc w:val="both"/>
              <w:rPr>
                <w:rFonts w:eastAsia="Times"/>
                <w:lang w:val="en-US"/>
              </w:rPr>
            </w:pPr>
            <w:r>
              <w:rPr>
                <w:rFonts w:eastAsia="Times"/>
                <w:lang w:val="en-US"/>
              </w:rPr>
              <w:t>Low</w:t>
            </w:r>
          </w:p>
        </w:tc>
        <w:tc>
          <w:tcPr>
            <w:tcW w:w="1242" w:type="pct"/>
            <w:vAlign w:val="center"/>
          </w:tcPr>
          <w:p w14:paraId="43B8CED5" w14:textId="77777777" w:rsidR="00F65DBB" w:rsidRPr="00F65DBB" w:rsidRDefault="00F65DBB" w:rsidP="00F65DBB">
            <w:pPr>
              <w:spacing w:after="240"/>
              <w:ind w:firstLine="357"/>
              <w:jc w:val="both"/>
              <w:rPr>
                <w:rFonts w:eastAsia="Times"/>
                <w:lang w:val="en-US"/>
              </w:rPr>
            </w:pPr>
            <w:r w:rsidRPr="00F65DBB">
              <w:rPr>
                <w:rFonts w:eastAsia="Times"/>
                <w:lang w:val="en-US"/>
              </w:rPr>
              <w:t>16</w:t>
            </w:r>
          </w:p>
        </w:tc>
        <w:tc>
          <w:tcPr>
            <w:tcW w:w="1290" w:type="pct"/>
            <w:vAlign w:val="center"/>
          </w:tcPr>
          <w:p w14:paraId="23E39ED1" w14:textId="77777777" w:rsidR="00F65DBB" w:rsidRPr="00F65DBB" w:rsidRDefault="00F65DBB" w:rsidP="00F65DBB">
            <w:pPr>
              <w:spacing w:after="240"/>
              <w:ind w:firstLine="357"/>
              <w:jc w:val="both"/>
              <w:rPr>
                <w:rFonts w:eastAsia="Times"/>
                <w:lang w:val="en-US"/>
              </w:rPr>
            </w:pPr>
            <w:r w:rsidRPr="00F65DBB">
              <w:rPr>
                <w:rFonts w:eastAsia="Times"/>
                <w:lang w:val="en-US"/>
              </w:rPr>
              <w:t>5,03%</w:t>
            </w:r>
          </w:p>
        </w:tc>
      </w:tr>
      <w:tr w:rsidR="00F65DBB" w:rsidRPr="00F65DBB" w14:paraId="76730855" w14:textId="77777777" w:rsidTr="00F65DBB">
        <w:tc>
          <w:tcPr>
            <w:tcW w:w="1097" w:type="pct"/>
            <w:vAlign w:val="center"/>
          </w:tcPr>
          <w:p w14:paraId="211D9E99" w14:textId="77777777" w:rsidR="00F65DBB" w:rsidRPr="00F65DBB" w:rsidRDefault="00F65DBB" w:rsidP="00F65DBB">
            <w:pPr>
              <w:spacing w:after="240"/>
              <w:ind w:firstLine="357"/>
              <w:jc w:val="both"/>
              <w:rPr>
                <w:rFonts w:eastAsia="Times"/>
                <w:lang w:val="en-US"/>
              </w:rPr>
            </w:pPr>
            <w:r w:rsidRPr="00F65DBB">
              <w:rPr>
                <w:rFonts w:eastAsia="Times"/>
                <w:lang w:val="en-US"/>
              </w:rPr>
              <w:t>75-91</w:t>
            </w:r>
          </w:p>
        </w:tc>
        <w:tc>
          <w:tcPr>
            <w:tcW w:w="1371" w:type="pct"/>
          </w:tcPr>
          <w:p w14:paraId="085A0D81" w14:textId="1DA79B82" w:rsidR="00F65DBB" w:rsidRPr="00F65DBB" w:rsidRDefault="001B2961" w:rsidP="00F65DBB">
            <w:pPr>
              <w:spacing w:after="240"/>
              <w:ind w:firstLine="357"/>
              <w:jc w:val="both"/>
              <w:rPr>
                <w:rFonts w:eastAsia="Times"/>
                <w:lang w:val="en-US"/>
              </w:rPr>
            </w:pPr>
            <w:proofErr w:type="spellStart"/>
            <w:r>
              <w:rPr>
                <w:rFonts w:eastAsia="Times"/>
                <w:lang w:val="en-US"/>
              </w:rPr>
              <w:t>Midle</w:t>
            </w:r>
            <w:proofErr w:type="spellEnd"/>
          </w:p>
        </w:tc>
        <w:tc>
          <w:tcPr>
            <w:tcW w:w="1242" w:type="pct"/>
            <w:vAlign w:val="center"/>
          </w:tcPr>
          <w:p w14:paraId="01C4D101" w14:textId="77777777" w:rsidR="00F65DBB" w:rsidRPr="00F65DBB" w:rsidRDefault="00F65DBB" w:rsidP="00F65DBB">
            <w:pPr>
              <w:spacing w:after="240"/>
              <w:ind w:firstLine="357"/>
              <w:jc w:val="both"/>
              <w:rPr>
                <w:rFonts w:eastAsia="Times"/>
                <w:lang w:val="en-US"/>
              </w:rPr>
            </w:pPr>
            <w:r w:rsidRPr="00F65DBB">
              <w:rPr>
                <w:rFonts w:eastAsia="Times"/>
                <w:lang w:val="en-US"/>
              </w:rPr>
              <w:t>91</w:t>
            </w:r>
          </w:p>
        </w:tc>
        <w:tc>
          <w:tcPr>
            <w:tcW w:w="1290" w:type="pct"/>
            <w:vAlign w:val="center"/>
          </w:tcPr>
          <w:p w14:paraId="7692BD3F" w14:textId="77777777" w:rsidR="00F65DBB" w:rsidRPr="00F65DBB" w:rsidRDefault="00F65DBB" w:rsidP="00F65DBB">
            <w:pPr>
              <w:spacing w:after="240"/>
              <w:ind w:firstLine="357"/>
              <w:jc w:val="both"/>
              <w:rPr>
                <w:rFonts w:eastAsia="Times"/>
                <w:lang w:val="en-US"/>
              </w:rPr>
            </w:pPr>
            <w:r w:rsidRPr="00F65DBB">
              <w:rPr>
                <w:rFonts w:eastAsia="Times"/>
                <w:lang w:val="en-US"/>
              </w:rPr>
              <w:t>28,62%</w:t>
            </w:r>
          </w:p>
        </w:tc>
      </w:tr>
      <w:tr w:rsidR="00F65DBB" w:rsidRPr="00F65DBB" w14:paraId="15D97D54" w14:textId="77777777" w:rsidTr="00F65DBB">
        <w:tc>
          <w:tcPr>
            <w:tcW w:w="1097" w:type="pct"/>
            <w:vAlign w:val="center"/>
          </w:tcPr>
          <w:p w14:paraId="36138BC2" w14:textId="77777777" w:rsidR="00F65DBB" w:rsidRPr="00F65DBB" w:rsidRDefault="00F65DBB" w:rsidP="00F65DBB">
            <w:pPr>
              <w:spacing w:after="240"/>
              <w:ind w:firstLine="357"/>
              <w:jc w:val="both"/>
              <w:rPr>
                <w:rFonts w:eastAsia="Times"/>
                <w:lang w:val="en-US"/>
              </w:rPr>
            </w:pPr>
            <w:r w:rsidRPr="00F65DBB">
              <w:rPr>
                <w:rFonts w:eastAsia="Times"/>
                <w:lang w:val="en-US"/>
              </w:rPr>
              <w:t>92-107</w:t>
            </w:r>
          </w:p>
        </w:tc>
        <w:tc>
          <w:tcPr>
            <w:tcW w:w="1371" w:type="pct"/>
          </w:tcPr>
          <w:p w14:paraId="26E55417" w14:textId="6670F641" w:rsidR="00F65DBB" w:rsidRPr="00F65DBB" w:rsidRDefault="001B2961" w:rsidP="00F65DBB">
            <w:pPr>
              <w:spacing w:after="240"/>
              <w:ind w:firstLine="357"/>
              <w:jc w:val="both"/>
              <w:rPr>
                <w:rFonts w:eastAsia="Times"/>
                <w:lang w:val="en-US"/>
              </w:rPr>
            </w:pPr>
            <w:r>
              <w:rPr>
                <w:rFonts w:eastAsia="Times"/>
                <w:lang w:val="en-US"/>
              </w:rPr>
              <w:t>High</w:t>
            </w:r>
          </w:p>
        </w:tc>
        <w:tc>
          <w:tcPr>
            <w:tcW w:w="1242" w:type="pct"/>
            <w:vAlign w:val="center"/>
          </w:tcPr>
          <w:p w14:paraId="46D7BC30" w14:textId="77777777" w:rsidR="00F65DBB" w:rsidRPr="00F65DBB" w:rsidRDefault="00F65DBB" w:rsidP="00F65DBB">
            <w:pPr>
              <w:spacing w:after="240"/>
              <w:ind w:firstLine="357"/>
              <w:jc w:val="both"/>
              <w:rPr>
                <w:rFonts w:eastAsia="Times"/>
                <w:lang w:val="en-US"/>
              </w:rPr>
            </w:pPr>
            <w:r w:rsidRPr="00F65DBB">
              <w:rPr>
                <w:rFonts w:eastAsia="Times"/>
                <w:lang w:val="en-US"/>
              </w:rPr>
              <w:t>151</w:t>
            </w:r>
          </w:p>
        </w:tc>
        <w:tc>
          <w:tcPr>
            <w:tcW w:w="1290" w:type="pct"/>
            <w:vAlign w:val="center"/>
          </w:tcPr>
          <w:p w14:paraId="5D5B625D" w14:textId="77777777" w:rsidR="00F65DBB" w:rsidRPr="00F65DBB" w:rsidRDefault="00F65DBB" w:rsidP="00F65DBB">
            <w:pPr>
              <w:spacing w:after="240"/>
              <w:ind w:firstLine="357"/>
              <w:jc w:val="both"/>
              <w:rPr>
                <w:rFonts w:eastAsia="Times"/>
                <w:lang w:val="en-US"/>
              </w:rPr>
            </w:pPr>
            <w:r w:rsidRPr="00F65DBB">
              <w:rPr>
                <w:rFonts w:eastAsia="Times"/>
                <w:lang w:val="en-US"/>
              </w:rPr>
              <w:t>47,48%</w:t>
            </w:r>
          </w:p>
        </w:tc>
      </w:tr>
      <w:tr w:rsidR="00F65DBB" w:rsidRPr="00F65DBB" w14:paraId="148A550B" w14:textId="77777777" w:rsidTr="00F65DBB">
        <w:tc>
          <w:tcPr>
            <w:tcW w:w="1097" w:type="pct"/>
            <w:vAlign w:val="center"/>
          </w:tcPr>
          <w:p w14:paraId="53A9B670" w14:textId="77777777" w:rsidR="00F65DBB" w:rsidRPr="00F65DBB" w:rsidRDefault="00F65DBB" w:rsidP="00F65DBB">
            <w:pPr>
              <w:spacing w:after="240"/>
              <w:ind w:firstLine="357"/>
              <w:jc w:val="both"/>
              <w:rPr>
                <w:rFonts w:eastAsia="Times"/>
                <w:lang w:val="en-US"/>
              </w:rPr>
            </w:pPr>
            <w:r w:rsidRPr="00F65DBB">
              <w:rPr>
                <w:rFonts w:eastAsia="Times"/>
                <w:lang w:val="en-US"/>
              </w:rPr>
              <w:t>108-132</w:t>
            </w:r>
          </w:p>
        </w:tc>
        <w:tc>
          <w:tcPr>
            <w:tcW w:w="1371" w:type="pct"/>
          </w:tcPr>
          <w:p w14:paraId="30C8C5FF" w14:textId="718D5DBA" w:rsidR="00F65DBB" w:rsidRPr="00F65DBB" w:rsidRDefault="001B2961" w:rsidP="001B2961">
            <w:pPr>
              <w:spacing w:after="240"/>
              <w:ind w:firstLine="52"/>
              <w:jc w:val="center"/>
              <w:rPr>
                <w:rFonts w:eastAsia="Times"/>
                <w:lang w:val="en-US"/>
              </w:rPr>
            </w:pPr>
            <w:r>
              <w:rPr>
                <w:rFonts w:eastAsia="Times"/>
                <w:lang w:val="en-US"/>
              </w:rPr>
              <w:t>Very High</w:t>
            </w:r>
          </w:p>
        </w:tc>
        <w:tc>
          <w:tcPr>
            <w:tcW w:w="1242" w:type="pct"/>
            <w:vAlign w:val="center"/>
          </w:tcPr>
          <w:p w14:paraId="2160A347" w14:textId="77777777" w:rsidR="00F65DBB" w:rsidRPr="00F65DBB" w:rsidRDefault="00F65DBB" w:rsidP="00F65DBB">
            <w:pPr>
              <w:spacing w:after="240"/>
              <w:ind w:firstLine="357"/>
              <w:jc w:val="both"/>
              <w:rPr>
                <w:rFonts w:eastAsia="Times"/>
                <w:lang w:val="en-US"/>
              </w:rPr>
            </w:pPr>
            <w:r w:rsidRPr="00F65DBB">
              <w:rPr>
                <w:rFonts w:eastAsia="Times"/>
                <w:lang w:val="en-US"/>
              </w:rPr>
              <w:t>57</w:t>
            </w:r>
          </w:p>
        </w:tc>
        <w:tc>
          <w:tcPr>
            <w:tcW w:w="1290" w:type="pct"/>
            <w:vAlign w:val="center"/>
          </w:tcPr>
          <w:p w14:paraId="136493E4" w14:textId="77777777" w:rsidR="00F65DBB" w:rsidRPr="00F65DBB" w:rsidRDefault="00F65DBB" w:rsidP="00F65DBB">
            <w:pPr>
              <w:spacing w:after="240"/>
              <w:ind w:firstLine="357"/>
              <w:jc w:val="both"/>
              <w:rPr>
                <w:rFonts w:eastAsia="Times"/>
                <w:lang w:val="en-US"/>
              </w:rPr>
            </w:pPr>
            <w:r w:rsidRPr="00F65DBB">
              <w:rPr>
                <w:rFonts w:eastAsia="Times"/>
                <w:lang w:val="en-US"/>
              </w:rPr>
              <w:t>17,92%</w:t>
            </w:r>
          </w:p>
        </w:tc>
      </w:tr>
      <w:tr w:rsidR="00F65DBB" w:rsidRPr="00F65DBB" w14:paraId="17C9F0DF" w14:textId="77777777" w:rsidTr="00F65DBB">
        <w:tc>
          <w:tcPr>
            <w:tcW w:w="2468" w:type="pct"/>
            <w:gridSpan w:val="2"/>
            <w:vAlign w:val="center"/>
          </w:tcPr>
          <w:p w14:paraId="19ED37DA" w14:textId="77777777" w:rsidR="00F65DBB" w:rsidRPr="00F65DBB" w:rsidRDefault="00F65DBB" w:rsidP="00F65DBB">
            <w:pPr>
              <w:spacing w:after="240"/>
              <w:ind w:firstLine="357"/>
              <w:jc w:val="both"/>
              <w:rPr>
                <w:rFonts w:eastAsia="Times"/>
                <w:b/>
                <w:lang w:val="id-ID"/>
              </w:rPr>
            </w:pPr>
            <w:r w:rsidRPr="00F65DBB">
              <w:rPr>
                <w:rFonts w:eastAsia="Times"/>
                <w:b/>
                <w:lang w:val="id-ID"/>
              </w:rPr>
              <w:t>Total</w:t>
            </w:r>
          </w:p>
        </w:tc>
        <w:tc>
          <w:tcPr>
            <w:tcW w:w="1242" w:type="pct"/>
            <w:vAlign w:val="center"/>
          </w:tcPr>
          <w:p w14:paraId="3C846A28" w14:textId="77777777" w:rsidR="00F65DBB" w:rsidRPr="00F65DBB" w:rsidRDefault="00F65DBB" w:rsidP="00F65DBB">
            <w:pPr>
              <w:spacing w:after="240"/>
              <w:ind w:firstLine="357"/>
              <w:jc w:val="both"/>
              <w:rPr>
                <w:rFonts w:eastAsia="Times"/>
                <w:b/>
                <w:lang w:val="en-US"/>
              </w:rPr>
            </w:pPr>
            <w:r w:rsidRPr="00F65DBB">
              <w:rPr>
                <w:rFonts w:eastAsia="Times"/>
                <w:b/>
                <w:lang w:val="id-ID"/>
              </w:rPr>
              <w:t>3</w:t>
            </w:r>
            <w:r w:rsidRPr="00F65DBB">
              <w:rPr>
                <w:rFonts w:eastAsia="Times"/>
                <w:b/>
                <w:lang w:val="en-US"/>
              </w:rPr>
              <w:t>18</w:t>
            </w:r>
          </w:p>
        </w:tc>
        <w:tc>
          <w:tcPr>
            <w:tcW w:w="1290" w:type="pct"/>
            <w:vAlign w:val="center"/>
          </w:tcPr>
          <w:p w14:paraId="3EE950B4" w14:textId="378EDCD3" w:rsidR="00F65DBB" w:rsidRPr="00F65DBB" w:rsidRDefault="00F65DBB" w:rsidP="00F65DBB">
            <w:pPr>
              <w:spacing w:after="240"/>
              <w:ind w:firstLine="357"/>
              <w:jc w:val="both"/>
              <w:rPr>
                <w:rFonts w:eastAsia="Times"/>
                <w:b/>
                <w:lang w:val="id-ID"/>
              </w:rPr>
            </w:pPr>
            <w:r>
              <w:rPr>
                <w:rFonts w:eastAsia="Times"/>
                <w:b/>
                <w:lang w:val="en-US"/>
              </w:rPr>
              <w:t xml:space="preserve">  </w:t>
            </w:r>
            <w:r w:rsidRPr="00F65DBB">
              <w:rPr>
                <w:rFonts w:eastAsia="Times"/>
                <w:b/>
                <w:lang w:val="id-ID"/>
              </w:rPr>
              <w:t>100%</w:t>
            </w:r>
          </w:p>
        </w:tc>
      </w:tr>
    </w:tbl>
    <w:p w14:paraId="3BB92FB0" w14:textId="77777777" w:rsidR="00F65DBB" w:rsidRDefault="00F65DBB" w:rsidP="00866AE1">
      <w:pPr>
        <w:spacing w:after="240"/>
        <w:ind w:firstLine="357"/>
        <w:jc w:val="both"/>
        <w:rPr>
          <w:rFonts w:eastAsia="Times"/>
        </w:rPr>
      </w:pPr>
    </w:p>
    <w:p w14:paraId="3C32A0EC" w14:textId="3CAD2107" w:rsidR="00F65DBB" w:rsidRPr="00F65DBB" w:rsidRDefault="001B2961" w:rsidP="00F65DBB">
      <w:pPr>
        <w:spacing w:after="240"/>
        <w:ind w:firstLine="357"/>
        <w:jc w:val="both"/>
        <w:rPr>
          <w:rFonts w:eastAsia="Times"/>
          <w:lang w:val="en-US"/>
        </w:rPr>
      </w:pPr>
      <w:r w:rsidRPr="001B2961">
        <w:rPr>
          <w:rFonts w:eastAsia="Times"/>
          <w:lang w:val="en-US"/>
        </w:rPr>
        <w:t xml:space="preserve">Table 2 above shows that the highest frequency is in the psychological </w:t>
      </w:r>
      <w:proofErr w:type="spellStart"/>
      <w:r w:rsidRPr="001B2961">
        <w:rPr>
          <w:rFonts w:eastAsia="Times"/>
          <w:lang w:val="en-US"/>
        </w:rPr>
        <w:t>well being</w:t>
      </w:r>
      <w:proofErr w:type="spellEnd"/>
      <w:r w:rsidRPr="001B2961">
        <w:rPr>
          <w:rFonts w:eastAsia="Times"/>
          <w:lang w:val="en-US"/>
        </w:rPr>
        <w:t xml:space="preserve"> value interval of 92-107 as many as 151 (47.48%) in the high category. Moderate psychological </w:t>
      </w:r>
      <w:proofErr w:type="spellStart"/>
      <w:r w:rsidRPr="001B2961">
        <w:rPr>
          <w:rFonts w:eastAsia="Times"/>
          <w:lang w:val="en-US"/>
        </w:rPr>
        <w:t>well being</w:t>
      </w:r>
      <w:proofErr w:type="spellEnd"/>
      <w:r w:rsidRPr="001B2961">
        <w:rPr>
          <w:rFonts w:eastAsia="Times"/>
          <w:lang w:val="en-US"/>
        </w:rPr>
        <w:t xml:space="preserve"> in the interval 75-91 as many as 91 (28.62%), psychological </w:t>
      </w:r>
      <w:proofErr w:type="spellStart"/>
      <w:r w:rsidRPr="001B2961">
        <w:rPr>
          <w:rFonts w:eastAsia="Times"/>
          <w:lang w:val="en-US"/>
        </w:rPr>
        <w:t>well being</w:t>
      </w:r>
      <w:proofErr w:type="spellEnd"/>
      <w:r w:rsidRPr="001B2961">
        <w:rPr>
          <w:rFonts w:eastAsia="Times"/>
          <w:lang w:val="en-US"/>
        </w:rPr>
        <w:t xml:space="preserve"> very high in the interval 108-132 as many as 57 (17.92%), psychological </w:t>
      </w:r>
      <w:proofErr w:type="spellStart"/>
      <w:r w:rsidRPr="001B2961">
        <w:rPr>
          <w:rFonts w:eastAsia="Times"/>
          <w:lang w:val="en-US"/>
        </w:rPr>
        <w:t>well being</w:t>
      </w:r>
      <w:proofErr w:type="spellEnd"/>
      <w:r w:rsidRPr="001B2961">
        <w:rPr>
          <w:rFonts w:eastAsia="Times"/>
          <w:lang w:val="en-US"/>
        </w:rPr>
        <w:t xml:space="preserve"> low in the interval 59-74 as much 16 (5.03%), and shallow psychological </w:t>
      </w:r>
      <w:proofErr w:type="spellStart"/>
      <w:r w:rsidRPr="001B2961">
        <w:rPr>
          <w:rFonts w:eastAsia="Times"/>
          <w:lang w:val="en-US"/>
        </w:rPr>
        <w:t>well being</w:t>
      </w:r>
      <w:proofErr w:type="spellEnd"/>
      <w:r w:rsidRPr="001B2961">
        <w:rPr>
          <w:rFonts w:eastAsia="Times"/>
          <w:lang w:val="en-US"/>
        </w:rPr>
        <w:t xml:space="preserve"> at intervals of 33-58 as many as 3 (0.94%). These results indicate that each individual has a different level of psychological well-being due to its subjective nature.</w:t>
      </w:r>
    </w:p>
    <w:p w14:paraId="5E547776" w14:textId="7DD379B6" w:rsidR="00F65DBB" w:rsidRDefault="001B2961" w:rsidP="00F65DBB">
      <w:pPr>
        <w:spacing w:after="240"/>
        <w:ind w:firstLine="357"/>
        <w:jc w:val="both"/>
        <w:rPr>
          <w:rFonts w:eastAsia="Times"/>
          <w:lang w:val="en-US"/>
        </w:rPr>
      </w:pPr>
      <w:r w:rsidRPr="001B2961">
        <w:rPr>
          <w:rFonts w:eastAsia="Times"/>
          <w:lang w:val="en-US"/>
        </w:rPr>
        <w:t xml:space="preserve">Although psychological well-being is subjective, according to Carol D. </w:t>
      </w:r>
      <w:proofErr w:type="spellStart"/>
      <w:r w:rsidRPr="001B2961">
        <w:rPr>
          <w:rFonts w:eastAsia="Times"/>
          <w:lang w:val="en-US"/>
        </w:rPr>
        <w:t>Ryff</w:t>
      </w:r>
      <w:proofErr w:type="spellEnd"/>
      <w:r w:rsidRPr="001B2961">
        <w:rPr>
          <w:rFonts w:eastAsia="Times"/>
          <w:lang w:val="en-US"/>
        </w:rPr>
        <w:t>, in general, every individual can improve psychological well-being by accepting oneself, having a purpose in life, developing positive relationships, becoming an independent person, and continuing the process (</w:t>
      </w:r>
      <w:proofErr w:type="spellStart"/>
      <w:r w:rsidRPr="001B2961">
        <w:rPr>
          <w:rFonts w:eastAsia="Times"/>
          <w:lang w:val="en-US"/>
        </w:rPr>
        <w:t>Fitriani</w:t>
      </w:r>
      <w:proofErr w:type="spellEnd"/>
      <w:r w:rsidRPr="001B2961">
        <w:rPr>
          <w:rFonts w:eastAsia="Times"/>
          <w:lang w:val="en-US"/>
        </w:rPr>
        <w:t xml:space="preserve">, 2016). ). Based on several studies, many factors influence psychological well-being, but psychological well-being is fully controlled by the individual himself (Lyubomirsky, Sheldon, &amp; </w:t>
      </w:r>
      <w:proofErr w:type="spellStart"/>
      <w:r w:rsidRPr="001B2961">
        <w:rPr>
          <w:rFonts w:eastAsia="Times"/>
          <w:lang w:val="en-US"/>
        </w:rPr>
        <w:t>Schkade</w:t>
      </w:r>
      <w:proofErr w:type="spellEnd"/>
      <w:r w:rsidRPr="001B2961">
        <w:rPr>
          <w:rFonts w:eastAsia="Times"/>
          <w:lang w:val="en-US"/>
        </w:rPr>
        <w:t xml:space="preserve">, 2005; Lyubomirsky &amp; </w:t>
      </w:r>
      <w:proofErr w:type="spellStart"/>
      <w:r w:rsidRPr="001B2961">
        <w:rPr>
          <w:rFonts w:eastAsia="Times"/>
          <w:lang w:val="en-US"/>
        </w:rPr>
        <w:t>Layous</w:t>
      </w:r>
      <w:proofErr w:type="spellEnd"/>
      <w:r w:rsidRPr="001B2961">
        <w:rPr>
          <w:rFonts w:eastAsia="Times"/>
          <w:lang w:val="en-US"/>
        </w:rPr>
        <w:t>, 2013). This is also supported by the results of a study by Sin &amp; Lyubomirsky (2009) from the results of a study that combined the results of 51 randomized controlled interventions which found that people who were encouraged to engage in positive activities intentionally, such as thinking gratefully, optimistically, or mindfully, become significantly happier. Based on this explanation, a conclusion can be drawn for respondents with low psychological well-being categories, which can be treated by involving them in positive activities.</w:t>
      </w:r>
    </w:p>
    <w:p w14:paraId="00C3A8FA" w14:textId="56DFA9BA" w:rsidR="00F569EA" w:rsidRDefault="001B2961" w:rsidP="00F65DBB">
      <w:pPr>
        <w:spacing w:after="240"/>
        <w:ind w:firstLine="357"/>
        <w:jc w:val="both"/>
        <w:rPr>
          <w:rFonts w:eastAsia="Times"/>
        </w:rPr>
      </w:pPr>
      <w:r w:rsidRPr="001B2961">
        <w:rPr>
          <w:rFonts w:eastAsia="Times"/>
          <w:lang w:val="en-US"/>
        </w:rPr>
        <w:t xml:space="preserve">Although Psychological </w:t>
      </w:r>
      <w:proofErr w:type="spellStart"/>
      <w:r w:rsidRPr="001B2961">
        <w:rPr>
          <w:rFonts w:eastAsia="Times"/>
          <w:lang w:val="en-US"/>
        </w:rPr>
        <w:t>well being</w:t>
      </w:r>
      <w:proofErr w:type="spellEnd"/>
      <w:r w:rsidRPr="001B2961">
        <w:rPr>
          <w:rFonts w:eastAsia="Times"/>
          <w:lang w:val="en-US"/>
        </w:rPr>
        <w:t xml:space="preserve"> is strongly influenced internally by each individual, external factors also cannot be forgotten. The external factor is support from the closest environment, indirectly affecting thoughts and emotions (</w:t>
      </w:r>
      <w:proofErr w:type="spellStart"/>
      <w:r w:rsidRPr="001B2961">
        <w:rPr>
          <w:rFonts w:eastAsia="Times"/>
          <w:lang w:val="en-US"/>
        </w:rPr>
        <w:t>Fauziah</w:t>
      </w:r>
      <w:proofErr w:type="spellEnd"/>
      <w:r w:rsidRPr="001B2961">
        <w:rPr>
          <w:rFonts w:eastAsia="Times"/>
          <w:lang w:val="en-US"/>
        </w:rPr>
        <w:t xml:space="preserve"> et al., 2018). Higher education can also be an external factor influencing psychological well-being. The environment and the learning process carried out must also pay attention to positive thoughts, emotions, and actions. Even Robert (2016; Bhakti et al., 2018) asserts that education must also have the goal of happiness and well-being for its learners, who in this context are students. So that students' psychological well-being can be good if it can be encouraged from within the individual and there is support from outside as well.</w:t>
      </w:r>
    </w:p>
    <w:p w14:paraId="00E0395F" w14:textId="5786F555" w:rsidR="00FF6ECA" w:rsidRPr="00C32C31" w:rsidRDefault="006704AA" w:rsidP="00134E01">
      <w:pPr>
        <w:keepNext/>
        <w:keepLines/>
        <w:tabs>
          <w:tab w:val="left" w:pos="454"/>
        </w:tabs>
        <w:spacing w:before="520" w:after="280"/>
        <w:jc w:val="both"/>
        <w:rPr>
          <w:rFonts w:ascii="Arial" w:eastAsia="Times" w:hAnsi="Arial" w:cs="Arial"/>
          <w:b/>
          <w:color w:val="1F4E79" w:themeColor="accent5" w:themeShade="80"/>
        </w:rPr>
      </w:pPr>
      <w:r>
        <w:rPr>
          <w:rFonts w:ascii="Arial" w:eastAsia="Times" w:hAnsi="Arial" w:cs="Arial"/>
          <w:b/>
          <w:color w:val="1F4E79" w:themeColor="accent5" w:themeShade="80"/>
          <w:sz w:val="24"/>
          <w:szCs w:val="24"/>
        </w:rPr>
        <w:lastRenderedPageBreak/>
        <w:t>Conclusion</w:t>
      </w:r>
    </w:p>
    <w:p w14:paraId="1BABD0A2" w14:textId="3292A328" w:rsidR="00274BE6" w:rsidRPr="006704AA" w:rsidRDefault="001B2961" w:rsidP="006704AA">
      <w:pPr>
        <w:keepNext/>
        <w:keepLines/>
        <w:tabs>
          <w:tab w:val="left" w:pos="454"/>
        </w:tabs>
        <w:ind w:firstLine="426"/>
        <w:jc w:val="both"/>
        <w:rPr>
          <w:rFonts w:eastAsia="Times"/>
          <w:lang w:val="en-US"/>
        </w:rPr>
      </w:pPr>
      <w:r w:rsidRPr="001B2961">
        <w:rPr>
          <w:rFonts w:eastAsia="Times"/>
          <w:lang w:val="en-US"/>
        </w:rPr>
        <w:t>This study indicates that the Faculty of Teacher Training and Education students at Ahmad Dahlan University during the Covid-19 pandemic were in the moderate category, namely at a value of 85.59 and a median of 96. Looking at further descriptions of the 318 respondents, the highest category was the high category, respectively. 151 people (47.48%), 91 people (28.62%), very high category 57 (17.92%), low category 16 people (5.03%) and very low category 3 people (0.94%). So it can be concluded that students' psychological well-being is not bad, but still needs to be improved, one of which is by involving students in positive activities or activities, such as thinking gratefully, optimistically, and attentively.</w:t>
      </w:r>
    </w:p>
    <w:p w14:paraId="455811FC" w14:textId="77777777" w:rsidR="006704AA" w:rsidRPr="00C32C31" w:rsidRDefault="006704AA" w:rsidP="006704AA">
      <w:pPr>
        <w:keepNext/>
        <w:keepLines/>
        <w:tabs>
          <w:tab w:val="left" w:pos="454"/>
        </w:tabs>
        <w:spacing w:before="520" w:after="280"/>
        <w:jc w:val="both"/>
        <w:rPr>
          <w:rFonts w:ascii="Arial" w:eastAsia="Times" w:hAnsi="Arial" w:cs="Arial"/>
          <w:b/>
          <w:color w:val="1F4E79" w:themeColor="accent5" w:themeShade="80"/>
        </w:rPr>
      </w:pPr>
      <w:r w:rsidRPr="00C32C31">
        <w:rPr>
          <w:rFonts w:ascii="Arial" w:eastAsia="Times" w:hAnsi="Arial" w:cs="Arial"/>
          <w:b/>
          <w:color w:val="1F4E79" w:themeColor="accent5" w:themeShade="80"/>
          <w:sz w:val="24"/>
          <w:szCs w:val="24"/>
        </w:rPr>
        <w:t>Acknowledgements</w:t>
      </w:r>
    </w:p>
    <w:p w14:paraId="5BA4337C" w14:textId="1CDD02F2" w:rsidR="006704AA" w:rsidRDefault="009310E4" w:rsidP="009310E4">
      <w:pPr>
        <w:spacing w:before="240" w:after="240"/>
        <w:jc w:val="both"/>
        <w:rPr>
          <w:rFonts w:eastAsia="Times"/>
        </w:rPr>
      </w:pPr>
      <w:r w:rsidRPr="009310E4">
        <w:rPr>
          <w:rFonts w:eastAsia="Times"/>
        </w:rPr>
        <w:t>Publication of the  presented result has received funding form Institute for Research and Community Service Ahmad Dahlan</w:t>
      </w:r>
      <w:r>
        <w:rPr>
          <w:rFonts w:eastAsia="Times"/>
        </w:rPr>
        <w:t xml:space="preserve"> Univesity under project no</w:t>
      </w:r>
      <w:r w:rsidRPr="009310E4">
        <w:rPr>
          <w:rFonts w:eastAsia="Times"/>
        </w:rPr>
        <w:t>: PT-411/SP3/LPPM-UAD/V/20</w:t>
      </w:r>
      <w:r>
        <w:rPr>
          <w:rFonts w:eastAsia="Times"/>
        </w:rPr>
        <w:t>21. The content of this is part</w:t>
      </w:r>
      <w:r w:rsidRPr="009310E4">
        <w:rPr>
          <w:rFonts w:eastAsia="Times"/>
        </w:rPr>
        <w:t xml:space="preserve"> of study on the Development of Higher Education Guidance and Counseling Services at Ahmad Dahlan University</w:t>
      </w:r>
      <w:r>
        <w:rPr>
          <w:rFonts w:eastAsia="Times"/>
        </w:rPr>
        <w:t>.</w:t>
      </w:r>
    </w:p>
    <w:p w14:paraId="3682310B" w14:textId="77777777" w:rsidR="00274BE6" w:rsidRPr="00E750E2" w:rsidRDefault="008153B4" w:rsidP="00E750E2">
      <w:pPr>
        <w:keepNext/>
        <w:keepLines/>
        <w:tabs>
          <w:tab w:val="left" w:pos="454"/>
        </w:tabs>
        <w:spacing w:before="520" w:after="280"/>
        <w:jc w:val="center"/>
        <w:rPr>
          <w:color w:val="auto"/>
          <w:sz w:val="16"/>
        </w:rPr>
      </w:pPr>
      <w:r w:rsidRPr="00E750E2">
        <w:rPr>
          <w:rFonts w:eastAsia="Times"/>
          <w:b/>
          <w:color w:val="auto"/>
          <w:szCs w:val="24"/>
        </w:rPr>
        <w:t>References</w:t>
      </w:r>
    </w:p>
    <w:p w14:paraId="42ADCDB0" w14:textId="77777777" w:rsidR="00245754" w:rsidRPr="00245754" w:rsidRDefault="00245754" w:rsidP="00245754">
      <w:pPr>
        <w:ind w:left="284" w:hanging="284"/>
        <w:jc w:val="both"/>
        <w:rPr>
          <w:lang w:val="en-US"/>
        </w:rPr>
      </w:pPr>
      <w:r w:rsidRPr="00245754">
        <w:rPr>
          <w:lang w:val="en-US"/>
        </w:rPr>
        <w:t xml:space="preserve">Amal, B. K. (2019). </w:t>
      </w:r>
      <w:proofErr w:type="spellStart"/>
      <w:r w:rsidRPr="00245754">
        <w:rPr>
          <w:lang w:val="en-US"/>
        </w:rPr>
        <w:t>Pembelajaran</w:t>
      </w:r>
      <w:proofErr w:type="spellEnd"/>
      <w:r w:rsidRPr="00245754">
        <w:rPr>
          <w:lang w:val="en-US"/>
        </w:rPr>
        <w:t xml:space="preserve"> blended learning </w:t>
      </w:r>
      <w:proofErr w:type="spellStart"/>
      <w:r w:rsidRPr="00245754">
        <w:rPr>
          <w:lang w:val="en-US"/>
        </w:rPr>
        <w:t>melalui</w:t>
      </w:r>
      <w:proofErr w:type="spellEnd"/>
      <w:r w:rsidRPr="00245754">
        <w:rPr>
          <w:lang w:val="en-US"/>
        </w:rPr>
        <w:t xml:space="preserve"> </w:t>
      </w:r>
      <w:proofErr w:type="spellStart"/>
      <w:r w:rsidRPr="00245754">
        <w:rPr>
          <w:lang w:val="en-US"/>
        </w:rPr>
        <w:t>whatsapp</w:t>
      </w:r>
      <w:proofErr w:type="spellEnd"/>
      <w:r w:rsidRPr="00245754">
        <w:rPr>
          <w:lang w:val="en-US"/>
        </w:rPr>
        <w:t xml:space="preserve"> group (Wag). </w:t>
      </w:r>
      <w:proofErr w:type="spellStart"/>
      <w:r w:rsidRPr="00245754">
        <w:rPr>
          <w:i/>
          <w:iCs/>
          <w:lang w:val="en-US"/>
        </w:rPr>
        <w:t>Prosiding</w:t>
      </w:r>
      <w:proofErr w:type="spellEnd"/>
      <w:r w:rsidRPr="00245754">
        <w:rPr>
          <w:i/>
          <w:iCs/>
          <w:lang w:val="en-US"/>
        </w:rPr>
        <w:t xml:space="preserve"> Seminar Nasional </w:t>
      </w:r>
      <w:proofErr w:type="spellStart"/>
      <w:r w:rsidRPr="00245754">
        <w:rPr>
          <w:i/>
          <w:iCs/>
          <w:lang w:val="en-US"/>
        </w:rPr>
        <w:t>Fakultas</w:t>
      </w:r>
      <w:proofErr w:type="spellEnd"/>
      <w:r w:rsidRPr="00245754">
        <w:rPr>
          <w:i/>
          <w:iCs/>
          <w:lang w:val="en-US"/>
        </w:rPr>
        <w:t xml:space="preserve"> </w:t>
      </w:r>
      <w:proofErr w:type="spellStart"/>
      <w:r w:rsidRPr="00245754">
        <w:rPr>
          <w:i/>
          <w:iCs/>
          <w:lang w:val="en-US"/>
        </w:rPr>
        <w:t>Ilmu</w:t>
      </w:r>
      <w:proofErr w:type="spellEnd"/>
      <w:r w:rsidRPr="00245754">
        <w:rPr>
          <w:i/>
          <w:iCs/>
          <w:lang w:val="en-US"/>
        </w:rPr>
        <w:t xml:space="preserve"> </w:t>
      </w:r>
      <w:proofErr w:type="spellStart"/>
      <w:r w:rsidRPr="00245754">
        <w:rPr>
          <w:i/>
          <w:iCs/>
          <w:lang w:val="en-US"/>
        </w:rPr>
        <w:t>Sosial</w:t>
      </w:r>
      <w:proofErr w:type="spellEnd"/>
      <w:r w:rsidRPr="00245754">
        <w:rPr>
          <w:i/>
          <w:iCs/>
          <w:lang w:val="en-US"/>
        </w:rPr>
        <w:t xml:space="preserve"> </w:t>
      </w:r>
      <w:proofErr w:type="spellStart"/>
      <w:r w:rsidRPr="00245754">
        <w:rPr>
          <w:i/>
          <w:iCs/>
          <w:lang w:val="en-US"/>
        </w:rPr>
        <w:t>Universitas</w:t>
      </w:r>
      <w:proofErr w:type="spellEnd"/>
      <w:r w:rsidRPr="00245754">
        <w:rPr>
          <w:i/>
          <w:iCs/>
          <w:lang w:val="en-US"/>
        </w:rPr>
        <w:t xml:space="preserve"> </w:t>
      </w:r>
      <w:proofErr w:type="spellStart"/>
      <w:r w:rsidRPr="00245754">
        <w:rPr>
          <w:i/>
          <w:iCs/>
          <w:lang w:val="en-US"/>
        </w:rPr>
        <w:t>Negeri</w:t>
      </w:r>
      <w:proofErr w:type="spellEnd"/>
      <w:r w:rsidRPr="00245754">
        <w:rPr>
          <w:i/>
          <w:iCs/>
          <w:lang w:val="en-US"/>
        </w:rPr>
        <w:t xml:space="preserve"> Medan</w:t>
      </w:r>
      <w:r w:rsidRPr="00245754">
        <w:rPr>
          <w:lang w:val="en-US"/>
        </w:rPr>
        <w:t xml:space="preserve">, </w:t>
      </w:r>
      <w:r w:rsidRPr="00245754">
        <w:rPr>
          <w:i/>
          <w:iCs/>
          <w:lang w:val="en-US"/>
        </w:rPr>
        <w:t>3</w:t>
      </w:r>
      <w:r w:rsidRPr="00245754">
        <w:rPr>
          <w:lang w:val="en-US"/>
        </w:rPr>
        <w:t>, 700–702.</w:t>
      </w:r>
    </w:p>
    <w:p w14:paraId="20B8B913" w14:textId="77777777" w:rsidR="00245754" w:rsidRPr="00245754" w:rsidRDefault="00245754" w:rsidP="00245754">
      <w:pPr>
        <w:ind w:left="284" w:hanging="284"/>
        <w:jc w:val="both"/>
        <w:rPr>
          <w:lang w:val="en-US"/>
        </w:rPr>
      </w:pPr>
      <w:r w:rsidRPr="00245754">
        <w:rPr>
          <w:lang w:val="en-US"/>
        </w:rPr>
        <w:t xml:space="preserve">Amalia, S. (2016). Analisa </w:t>
      </w:r>
      <w:proofErr w:type="spellStart"/>
      <w:r w:rsidRPr="00245754">
        <w:rPr>
          <w:lang w:val="en-US"/>
        </w:rPr>
        <w:t>psikometrik</w:t>
      </w:r>
      <w:proofErr w:type="spellEnd"/>
      <w:r w:rsidRPr="00245754">
        <w:rPr>
          <w:lang w:val="en-US"/>
        </w:rPr>
        <w:t xml:space="preserve"> </w:t>
      </w:r>
      <w:proofErr w:type="spellStart"/>
      <w:r w:rsidRPr="00245754">
        <w:rPr>
          <w:lang w:val="en-US"/>
        </w:rPr>
        <w:t>alat</w:t>
      </w:r>
      <w:proofErr w:type="spellEnd"/>
      <w:r w:rsidRPr="00245754">
        <w:rPr>
          <w:lang w:val="en-US"/>
        </w:rPr>
        <w:t xml:space="preserve"> </w:t>
      </w:r>
      <w:proofErr w:type="spellStart"/>
      <w:r w:rsidRPr="00245754">
        <w:rPr>
          <w:lang w:val="en-US"/>
        </w:rPr>
        <w:t>ukur</w:t>
      </w:r>
      <w:proofErr w:type="spellEnd"/>
      <w:r w:rsidRPr="00245754">
        <w:rPr>
          <w:lang w:val="en-US"/>
        </w:rPr>
        <w:t xml:space="preserve"> </w:t>
      </w:r>
      <w:proofErr w:type="spellStart"/>
      <w:r w:rsidRPr="00245754">
        <w:rPr>
          <w:lang w:val="en-US"/>
        </w:rPr>
        <w:t>Ryff’s</w:t>
      </w:r>
      <w:proofErr w:type="spellEnd"/>
      <w:r w:rsidRPr="00245754">
        <w:rPr>
          <w:lang w:val="en-US"/>
        </w:rPr>
        <w:t xml:space="preserve"> Psychological Well-Being (RPWB) </w:t>
      </w:r>
      <w:proofErr w:type="spellStart"/>
      <w:r w:rsidRPr="00245754">
        <w:rPr>
          <w:lang w:val="en-US"/>
        </w:rPr>
        <w:t>versi</w:t>
      </w:r>
      <w:proofErr w:type="spellEnd"/>
      <w:r w:rsidRPr="00245754">
        <w:rPr>
          <w:lang w:val="en-US"/>
        </w:rPr>
        <w:t xml:space="preserve"> </w:t>
      </w:r>
      <w:proofErr w:type="spellStart"/>
      <w:r w:rsidRPr="00245754">
        <w:rPr>
          <w:lang w:val="en-US"/>
        </w:rPr>
        <w:t>bahasa</w:t>
      </w:r>
      <w:proofErr w:type="spellEnd"/>
      <w:r w:rsidRPr="00245754">
        <w:rPr>
          <w:lang w:val="en-US"/>
        </w:rPr>
        <w:t xml:space="preserve"> Indonesia: </w:t>
      </w:r>
      <w:proofErr w:type="spellStart"/>
      <w:r w:rsidRPr="00245754">
        <w:rPr>
          <w:lang w:val="en-US"/>
        </w:rPr>
        <w:t>Studi</w:t>
      </w:r>
      <w:proofErr w:type="spellEnd"/>
      <w:r w:rsidRPr="00245754">
        <w:rPr>
          <w:lang w:val="en-US"/>
        </w:rPr>
        <w:t xml:space="preserve"> </w:t>
      </w:r>
      <w:proofErr w:type="spellStart"/>
      <w:r w:rsidRPr="00245754">
        <w:rPr>
          <w:lang w:val="en-US"/>
        </w:rPr>
        <w:t>pada</w:t>
      </w:r>
      <w:proofErr w:type="spellEnd"/>
      <w:r w:rsidRPr="00245754">
        <w:rPr>
          <w:lang w:val="en-US"/>
        </w:rPr>
        <w:t xml:space="preserve"> </w:t>
      </w:r>
      <w:proofErr w:type="spellStart"/>
      <w:r w:rsidRPr="00245754">
        <w:rPr>
          <w:lang w:val="en-US"/>
        </w:rPr>
        <w:t>lansia</w:t>
      </w:r>
      <w:proofErr w:type="spellEnd"/>
      <w:r w:rsidRPr="00245754">
        <w:rPr>
          <w:lang w:val="en-US"/>
        </w:rPr>
        <w:t xml:space="preserve"> </w:t>
      </w:r>
      <w:proofErr w:type="spellStart"/>
      <w:r w:rsidRPr="00245754">
        <w:rPr>
          <w:lang w:val="en-US"/>
        </w:rPr>
        <w:t>guna</w:t>
      </w:r>
      <w:proofErr w:type="spellEnd"/>
      <w:r w:rsidRPr="00245754">
        <w:rPr>
          <w:lang w:val="en-US"/>
        </w:rPr>
        <w:t xml:space="preserve"> </w:t>
      </w:r>
      <w:proofErr w:type="spellStart"/>
      <w:r w:rsidRPr="00245754">
        <w:rPr>
          <w:lang w:val="en-US"/>
        </w:rPr>
        <w:t>mengukur</w:t>
      </w:r>
      <w:proofErr w:type="spellEnd"/>
      <w:r w:rsidRPr="00245754">
        <w:rPr>
          <w:lang w:val="en-US"/>
        </w:rPr>
        <w:t xml:space="preserve"> </w:t>
      </w:r>
      <w:proofErr w:type="spellStart"/>
      <w:r w:rsidRPr="00245754">
        <w:rPr>
          <w:lang w:val="en-US"/>
        </w:rPr>
        <w:t>kesejahteraan</w:t>
      </w:r>
      <w:proofErr w:type="spellEnd"/>
      <w:r w:rsidRPr="00245754">
        <w:rPr>
          <w:lang w:val="en-US"/>
        </w:rPr>
        <w:t xml:space="preserve"> </w:t>
      </w:r>
      <w:proofErr w:type="spellStart"/>
      <w:r w:rsidRPr="00245754">
        <w:rPr>
          <w:lang w:val="en-US"/>
        </w:rPr>
        <w:t>dan</w:t>
      </w:r>
      <w:proofErr w:type="spellEnd"/>
      <w:r w:rsidRPr="00245754">
        <w:rPr>
          <w:lang w:val="en-US"/>
        </w:rPr>
        <w:t xml:space="preserve"> </w:t>
      </w:r>
      <w:proofErr w:type="spellStart"/>
      <w:r w:rsidRPr="00245754">
        <w:rPr>
          <w:lang w:val="en-US"/>
        </w:rPr>
        <w:t>kebahagiaan</w:t>
      </w:r>
      <w:proofErr w:type="spellEnd"/>
      <w:r w:rsidRPr="00245754">
        <w:rPr>
          <w:lang w:val="en-US"/>
        </w:rPr>
        <w:t>. In </w:t>
      </w:r>
      <w:r w:rsidRPr="00245754">
        <w:rPr>
          <w:i/>
          <w:iCs/>
          <w:lang w:val="en-US"/>
        </w:rPr>
        <w:t xml:space="preserve">Seminar </w:t>
      </w:r>
      <w:proofErr w:type="spellStart"/>
      <w:r w:rsidRPr="00245754">
        <w:rPr>
          <w:i/>
          <w:iCs/>
          <w:lang w:val="en-US"/>
        </w:rPr>
        <w:t>Asean</w:t>
      </w:r>
      <w:proofErr w:type="spellEnd"/>
      <w:r w:rsidRPr="00245754">
        <w:rPr>
          <w:i/>
          <w:iCs/>
          <w:lang w:val="en-US"/>
        </w:rPr>
        <w:t xml:space="preserve"> 2nd Psychology &amp; Humanity</w:t>
      </w:r>
      <w:r w:rsidRPr="00245754">
        <w:rPr>
          <w:lang w:val="en-US"/>
        </w:rPr>
        <w:t> (pp. 430-437).</w:t>
      </w:r>
    </w:p>
    <w:p w14:paraId="69A0C319" w14:textId="77777777" w:rsidR="00245754" w:rsidRPr="00245754" w:rsidRDefault="00245754" w:rsidP="00245754">
      <w:pPr>
        <w:ind w:left="284" w:hanging="284"/>
        <w:jc w:val="both"/>
        <w:rPr>
          <w:lang w:val="en-US"/>
        </w:rPr>
      </w:pPr>
      <w:proofErr w:type="spellStart"/>
      <w:r w:rsidRPr="00245754">
        <w:rPr>
          <w:lang w:val="en-US"/>
        </w:rPr>
        <w:t>Awaliyah</w:t>
      </w:r>
      <w:proofErr w:type="spellEnd"/>
      <w:r w:rsidRPr="00245754">
        <w:rPr>
          <w:lang w:val="en-US"/>
        </w:rPr>
        <w:t xml:space="preserve">, A., </w:t>
      </w:r>
      <w:proofErr w:type="spellStart"/>
      <w:r w:rsidRPr="00245754">
        <w:rPr>
          <w:lang w:val="en-US"/>
        </w:rPr>
        <w:t>Listiyandini</w:t>
      </w:r>
      <w:proofErr w:type="spellEnd"/>
      <w:r w:rsidRPr="00245754">
        <w:rPr>
          <w:lang w:val="en-US"/>
        </w:rPr>
        <w:t xml:space="preserve">, R. A., &amp; </w:t>
      </w:r>
      <w:proofErr w:type="spellStart"/>
      <w:r w:rsidRPr="00245754">
        <w:rPr>
          <w:lang w:val="en-US"/>
        </w:rPr>
        <w:t>Kunci</w:t>
      </w:r>
      <w:proofErr w:type="spellEnd"/>
      <w:r w:rsidRPr="00245754">
        <w:rPr>
          <w:lang w:val="en-US"/>
        </w:rPr>
        <w:t xml:space="preserve">, K. (2017). </w:t>
      </w:r>
      <w:proofErr w:type="spellStart"/>
      <w:r w:rsidRPr="00245754">
        <w:rPr>
          <w:lang w:val="en-US"/>
        </w:rPr>
        <w:t>Pengaruh</w:t>
      </w:r>
      <w:proofErr w:type="spellEnd"/>
      <w:r w:rsidRPr="00245754">
        <w:rPr>
          <w:lang w:val="en-US"/>
        </w:rPr>
        <w:t xml:space="preserve"> rasa </w:t>
      </w:r>
      <w:proofErr w:type="spellStart"/>
      <w:r w:rsidRPr="00245754">
        <w:rPr>
          <w:lang w:val="en-US"/>
        </w:rPr>
        <w:t>kesadaran</w:t>
      </w:r>
      <w:proofErr w:type="spellEnd"/>
      <w:r w:rsidRPr="00245754">
        <w:rPr>
          <w:lang w:val="en-US"/>
        </w:rPr>
        <w:t xml:space="preserve"> </w:t>
      </w:r>
      <w:proofErr w:type="spellStart"/>
      <w:r w:rsidRPr="00245754">
        <w:rPr>
          <w:lang w:val="en-US"/>
        </w:rPr>
        <w:t>terhadap</w:t>
      </w:r>
      <w:proofErr w:type="spellEnd"/>
      <w:r w:rsidRPr="00245754">
        <w:rPr>
          <w:lang w:val="en-US"/>
        </w:rPr>
        <w:t xml:space="preserve"> </w:t>
      </w:r>
      <w:proofErr w:type="spellStart"/>
      <w:r w:rsidRPr="00245754">
        <w:rPr>
          <w:lang w:val="en-US"/>
        </w:rPr>
        <w:t>kesejahteraan</w:t>
      </w:r>
      <w:proofErr w:type="spellEnd"/>
      <w:r w:rsidRPr="00245754">
        <w:rPr>
          <w:lang w:val="en-US"/>
        </w:rPr>
        <w:t xml:space="preserve"> </w:t>
      </w:r>
      <w:proofErr w:type="spellStart"/>
      <w:r w:rsidRPr="00245754">
        <w:rPr>
          <w:lang w:val="en-US"/>
        </w:rPr>
        <w:t>psikologis</w:t>
      </w:r>
      <w:proofErr w:type="spellEnd"/>
      <w:r w:rsidRPr="00245754">
        <w:rPr>
          <w:lang w:val="en-US"/>
        </w:rPr>
        <w:t xml:space="preserve"> </w:t>
      </w:r>
      <w:proofErr w:type="spellStart"/>
      <w:r w:rsidRPr="00245754">
        <w:rPr>
          <w:lang w:val="en-US"/>
        </w:rPr>
        <w:t>pada</w:t>
      </w:r>
      <w:proofErr w:type="spellEnd"/>
      <w:r w:rsidRPr="00245754">
        <w:rPr>
          <w:lang w:val="en-US"/>
        </w:rPr>
        <w:t xml:space="preserve"> </w:t>
      </w:r>
      <w:proofErr w:type="spellStart"/>
      <w:r w:rsidRPr="00245754">
        <w:rPr>
          <w:lang w:val="en-US"/>
        </w:rPr>
        <w:t>mahasiswa</w:t>
      </w:r>
      <w:proofErr w:type="spellEnd"/>
      <w:r w:rsidRPr="00245754">
        <w:rPr>
          <w:lang w:val="en-US"/>
        </w:rPr>
        <w:t xml:space="preserve"> the influence of trait mindfulness toward psychological well-being among university students. </w:t>
      </w:r>
      <w:proofErr w:type="spellStart"/>
      <w:r w:rsidRPr="00245754">
        <w:rPr>
          <w:i/>
          <w:iCs/>
          <w:lang w:val="en-US"/>
        </w:rPr>
        <w:t>Psikogenesis</w:t>
      </w:r>
      <w:proofErr w:type="spellEnd"/>
      <w:r w:rsidRPr="00245754">
        <w:rPr>
          <w:lang w:val="en-US"/>
        </w:rPr>
        <w:t xml:space="preserve">, </w:t>
      </w:r>
      <w:r w:rsidRPr="00245754">
        <w:rPr>
          <w:i/>
          <w:iCs/>
          <w:lang w:val="en-US"/>
        </w:rPr>
        <w:t>5</w:t>
      </w:r>
      <w:r w:rsidRPr="00245754">
        <w:rPr>
          <w:lang w:val="en-US"/>
        </w:rPr>
        <w:t>(2), 90–101.</w:t>
      </w:r>
    </w:p>
    <w:p w14:paraId="576994EF" w14:textId="77777777" w:rsidR="00245754" w:rsidRPr="00245754" w:rsidRDefault="00245754" w:rsidP="00245754">
      <w:pPr>
        <w:ind w:left="284" w:hanging="284"/>
        <w:jc w:val="both"/>
        <w:rPr>
          <w:lang w:val="en-US"/>
        </w:rPr>
      </w:pPr>
      <w:r w:rsidRPr="00245754">
        <w:rPr>
          <w:lang w:val="en-US"/>
        </w:rPr>
        <w:t xml:space="preserve">Bhakti, C. P., </w:t>
      </w:r>
      <w:proofErr w:type="spellStart"/>
      <w:r w:rsidRPr="00245754">
        <w:rPr>
          <w:lang w:val="en-US"/>
        </w:rPr>
        <w:t>Ghiffari</w:t>
      </w:r>
      <w:proofErr w:type="spellEnd"/>
      <w:r w:rsidRPr="00245754">
        <w:rPr>
          <w:lang w:val="en-US"/>
        </w:rPr>
        <w:t xml:space="preserve">, M. A. N., &amp; </w:t>
      </w:r>
      <w:proofErr w:type="spellStart"/>
      <w:r w:rsidRPr="00245754">
        <w:rPr>
          <w:lang w:val="en-US"/>
        </w:rPr>
        <w:t>Salsabil</w:t>
      </w:r>
      <w:proofErr w:type="spellEnd"/>
      <w:r w:rsidRPr="00245754">
        <w:rPr>
          <w:lang w:val="en-US"/>
        </w:rPr>
        <w:t>, K. (2019). Joyful Learning: Alternative Learning Models to Improving Student’s Happiness. </w:t>
      </w:r>
      <w:proofErr w:type="spellStart"/>
      <w:r w:rsidRPr="00245754">
        <w:rPr>
          <w:i/>
          <w:iCs/>
          <w:lang w:val="en-US"/>
        </w:rPr>
        <w:t>Jurnal</w:t>
      </w:r>
      <w:proofErr w:type="spellEnd"/>
      <w:r w:rsidRPr="00245754">
        <w:rPr>
          <w:i/>
          <w:iCs/>
          <w:lang w:val="en-US"/>
        </w:rPr>
        <w:t xml:space="preserve"> </w:t>
      </w:r>
      <w:proofErr w:type="spellStart"/>
      <w:r w:rsidRPr="00245754">
        <w:rPr>
          <w:i/>
          <w:iCs/>
          <w:lang w:val="en-US"/>
        </w:rPr>
        <w:t>Varidika</w:t>
      </w:r>
      <w:proofErr w:type="spellEnd"/>
      <w:r w:rsidRPr="00245754">
        <w:rPr>
          <w:lang w:val="en-US"/>
        </w:rPr>
        <w:t>, </w:t>
      </w:r>
      <w:r w:rsidRPr="00245754">
        <w:rPr>
          <w:i/>
          <w:iCs/>
          <w:lang w:val="en-US"/>
        </w:rPr>
        <w:t>30</w:t>
      </w:r>
      <w:r w:rsidRPr="00245754">
        <w:rPr>
          <w:lang w:val="en-US"/>
        </w:rPr>
        <w:t>(2), 30-35.</w:t>
      </w:r>
    </w:p>
    <w:p w14:paraId="08838286" w14:textId="77777777" w:rsidR="00245754" w:rsidRPr="00245754" w:rsidRDefault="00245754" w:rsidP="00245754">
      <w:pPr>
        <w:ind w:left="284" w:hanging="284"/>
        <w:jc w:val="both"/>
        <w:rPr>
          <w:lang w:val="en-US"/>
        </w:rPr>
      </w:pPr>
      <w:r w:rsidRPr="00245754">
        <w:rPr>
          <w:lang w:val="en-US"/>
        </w:rPr>
        <w:t xml:space="preserve">Dodd, R. H., </w:t>
      </w:r>
      <w:proofErr w:type="spellStart"/>
      <w:r w:rsidRPr="00245754">
        <w:rPr>
          <w:lang w:val="en-US"/>
        </w:rPr>
        <w:t>Dadaczynski</w:t>
      </w:r>
      <w:proofErr w:type="spellEnd"/>
      <w:r w:rsidRPr="00245754">
        <w:rPr>
          <w:lang w:val="en-US"/>
        </w:rPr>
        <w:t xml:space="preserve">, K., </w:t>
      </w:r>
      <w:proofErr w:type="spellStart"/>
      <w:r w:rsidRPr="00245754">
        <w:rPr>
          <w:lang w:val="en-US"/>
        </w:rPr>
        <w:t>Okan</w:t>
      </w:r>
      <w:proofErr w:type="spellEnd"/>
      <w:r w:rsidRPr="00245754">
        <w:rPr>
          <w:lang w:val="en-US"/>
        </w:rPr>
        <w:t xml:space="preserve">, O., </w:t>
      </w:r>
      <w:proofErr w:type="spellStart"/>
      <w:r w:rsidRPr="00245754">
        <w:rPr>
          <w:lang w:val="en-US"/>
        </w:rPr>
        <w:t>Mccaffery</w:t>
      </w:r>
      <w:proofErr w:type="spellEnd"/>
      <w:r w:rsidRPr="00245754">
        <w:rPr>
          <w:lang w:val="en-US"/>
        </w:rPr>
        <w:t xml:space="preserve">, K. J., &amp; Pickles, K. (2021). Psychological wellbeing and academic experience of university students in </w:t>
      </w:r>
      <w:proofErr w:type="spellStart"/>
      <w:r w:rsidRPr="00245754">
        <w:rPr>
          <w:lang w:val="en-US"/>
        </w:rPr>
        <w:t>australia</w:t>
      </w:r>
      <w:proofErr w:type="spellEnd"/>
      <w:r w:rsidRPr="00245754">
        <w:rPr>
          <w:lang w:val="en-US"/>
        </w:rPr>
        <w:t xml:space="preserve"> during covid-19. </w:t>
      </w:r>
      <w:r w:rsidRPr="00245754">
        <w:rPr>
          <w:i/>
          <w:lang w:val="en-US"/>
        </w:rPr>
        <w:t>International Journal of Environmental Research and Public Health, 18</w:t>
      </w:r>
      <w:r w:rsidRPr="00245754">
        <w:rPr>
          <w:lang w:val="en-US"/>
        </w:rPr>
        <w:t xml:space="preserve">(866), 1–12. </w:t>
      </w:r>
      <w:proofErr w:type="spellStart"/>
      <w:r w:rsidRPr="00245754">
        <w:rPr>
          <w:lang w:val="en-US"/>
        </w:rPr>
        <w:t>doi</w:t>
      </w:r>
      <w:proofErr w:type="spellEnd"/>
      <w:r w:rsidRPr="00245754">
        <w:rPr>
          <w:lang w:val="en-US"/>
        </w:rPr>
        <w:t>: 10.3390/ijerph18030866.</w:t>
      </w:r>
    </w:p>
    <w:p w14:paraId="3832FF29" w14:textId="77777777" w:rsidR="00245754" w:rsidRPr="00245754" w:rsidRDefault="00245754" w:rsidP="00245754">
      <w:pPr>
        <w:ind w:left="284" w:hanging="284"/>
        <w:jc w:val="both"/>
        <w:rPr>
          <w:lang w:val="en-US"/>
        </w:rPr>
      </w:pPr>
      <w:r w:rsidRPr="00245754">
        <w:rPr>
          <w:lang w:val="en-US"/>
        </w:rPr>
        <w:t xml:space="preserve">Eva, N., Shanti, P., </w:t>
      </w:r>
      <w:proofErr w:type="spellStart"/>
      <w:r w:rsidRPr="00245754">
        <w:rPr>
          <w:lang w:val="en-US"/>
        </w:rPr>
        <w:t>Hidayah</w:t>
      </w:r>
      <w:proofErr w:type="spellEnd"/>
      <w:r w:rsidRPr="00245754">
        <w:rPr>
          <w:lang w:val="en-US"/>
        </w:rPr>
        <w:t xml:space="preserve">, N., &amp; </w:t>
      </w:r>
      <w:proofErr w:type="spellStart"/>
      <w:r w:rsidRPr="00245754">
        <w:rPr>
          <w:lang w:val="en-US"/>
        </w:rPr>
        <w:t>Bisri</w:t>
      </w:r>
      <w:proofErr w:type="spellEnd"/>
      <w:r w:rsidRPr="00245754">
        <w:rPr>
          <w:lang w:val="en-US"/>
        </w:rPr>
        <w:t xml:space="preserve">, M. (2020). </w:t>
      </w:r>
      <w:proofErr w:type="spellStart"/>
      <w:r w:rsidRPr="00245754">
        <w:rPr>
          <w:lang w:val="en-US"/>
        </w:rPr>
        <w:t>Pengaruh</w:t>
      </w:r>
      <w:proofErr w:type="spellEnd"/>
      <w:r w:rsidRPr="00245754">
        <w:rPr>
          <w:lang w:val="en-US"/>
        </w:rPr>
        <w:t xml:space="preserve"> </w:t>
      </w:r>
      <w:proofErr w:type="spellStart"/>
      <w:r w:rsidRPr="00245754">
        <w:rPr>
          <w:lang w:val="en-US"/>
        </w:rPr>
        <w:t>Dukungan</w:t>
      </w:r>
      <w:proofErr w:type="spellEnd"/>
      <w:r w:rsidRPr="00245754">
        <w:rPr>
          <w:lang w:val="en-US"/>
        </w:rPr>
        <w:t xml:space="preserve"> </w:t>
      </w:r>
      <w:proofErr w:type="spellStart"/>
      <w:r w:rsidRPr="00245754">
        <w:rPr>
          <w:lang w:val="en-US"/>
        </w:rPr>
        <w:t>sosial</w:t>
      </w:r>
      <w:proofErr w:type="spellEnd"/>
      <w:r w:rsidRPr="00245754">
        <w:rPr>
          <w:lang w:val="en-US"/>
        </w:rPr>
        <w:t xml:space="preserve"> </w:t>
      </w:r>
      <w:proofErr w:type="spellStart"/>
      <w:r w:rsidRPr="00245754">
        <w:rPr>
          <w:lang w:val="en-US"/>
        </w:rPr>
        <w:t>terhadap</w:t>
      </w:r>
      <w:proofErr w:type="spellEnd"/>
      <w:r w:rsidRPr="00245754">
        <w:rPr>
          <w:lang w:val="en-US"/>
        </w:rPr>
        <w:t xml:space="preserve"> </w:t>
      </w:r>
      <w:proofErr w:type="spellStart"/>
      <w:r w:rsidRPr="00245754">
        <w:rPr>
          <w:lang w:val="en-US"/>
        </w:rPr>
        <w:t>kesejahteraan</w:t>
      </w:r>
      <w:proofErr w:type="spellEnd"/>
      <w:r w:rsidRPr="00245754">
        <w:rPr>
          <w:lang w:val="en-US"/>
        </w:rPr>
        <w:t xml:space="preserve"> </w:t>
      </w:r>
      <w:proofErr w:type="spellStart"/>
      <w:r w:rsidRPr="00245754">
        <w:rPr>
          <w:lang w:val="en-US"/>
        </w:rPr>
        <w:t>psikologis</w:t>
      </w:r>
      <w:proofErr w:type="spellEnd"/>
      <w:r w:rsidRPr="00245754">
        <w:rPr>
          <w:lang w:val="en-US"/>
        </w:rPr>
        <w:t xml:space="preserve"> </w:t>
      </w:r>
      <w:proofErr w:type="spellStart"/>
      <w:r w:rsidRPr="00245754">
        <w:rPr>
          <w:lang w:val="en-US"/>
        </w:rPr>
        <w:t>mahasiswa</w:t>
      </w:r>
      <w:proofErr w:type="spellEnd"/>
      <w:r w:rsidRPr="00245754">
        <w:rPr>
          <w:lang w:val="en-US"/>
        </w:rPr>
        <w:t xml:space="preserve"> </w:t>
      </w:r>
      <w:proofErr w:type="spellStart"/>
      <w:r w:rsidRPr="00245754">
        <w:rPr>
          <w:lang w:val="en-US"/>
        </w:rPr>
        <w:t>dengan</w:t>
      </w:r>
      <w:proofErr w:type="spellEnd"/>
      <w:r w:rsidRPr="00245754">
        <w:rPr>
          <w:lang w:val="en-US"/>
        </w:rPr>
        <w:t xml:space="preserve"> </w:t>
      </w:r>
      <w:proofErr w:type="spellStart"/>
      <w:r w:rsidRPr="00245754">
        <w:rPr>
          <w:lang w:val="en-US"/>
        </w:rPr>
        <w:t>religiusitas</w:t>
      </w:r>
      <w:proofErr w:type="spellEnd"/>
      <w:r w:rsidRPr="00245754">
        <w:rPr>
          <w:lang w:val="en-US"/>
        </w:rPr>
        <w:t xml:space="preserve"> </w:t>
      </w:r>
      <w:proofErr w:type="spellStart"/>
      <w:r w:rsidRPr="00245754">
        <w:rPr>
          <w:lang w:val="en-US"/>
        </w:rPr>
        <w:t>sebagai</w:t>
      </w:r>
      <w:proofErr w:type="spellEnd"/>
      <w:r w:rsidRPr="00245754">
        <w:rPr>
          <w:lang w:val="en-US"/>
        </w:rPr>
        <w:t xml:space="preserve"> moderator. </w:t>
      </w:r>
      <w:proofErr w:type="spellStart"/>
      <w:r w:rsidRPr="00245754">
        <w:rPr>
          <w:i/>
          <w:iCs/>
          <w:lang w:val="en-US"/>
        </w:rPr>
        <w:t>Jurnal</w:t>
      </w:r>
      <w:proofErr w:type="spellEnd"/>
      <w:r w:rsidRPr="00245754">
        <w:rPr>
          <w:i/>
          <w:iCs/>
          <w:lang w:val="en-US"/>
        </w:rPr>
        <w:t xml:space="preserve"> Kajian </w:t>
      </w:r>
      <w:proofErr w:type="spellStart"/>
      <w:r w:rsidRPr="00245754">
        <w:rPr>
          <w:i/>
          <w:iCs/>
          <w:lang w:val="en-US"/>
        </w:rPr>
        <w:t>Bimbingan</w:t>
      </w:r>
      <w:proofErr w:type="spellEnd"/>
      <w:r w:rsidRPr="00245754">
        <w:rPr>
          <w:i/>
          <w:iCs/>
          <w:lang w:val="en-US"/>
        </w:rPr>
        <w:t xml:space="preserve"> </w:t>
      </w:r>
      <w:proofErr w:type="spellStart"/>
      <w:r w:rsidRPr="00245754">
        <w:rPr>
          <w:i/>
          <w:iCs/>
          <w:lang w:val="en-US"/>
        </w:rPr>
        <w:t>dan</w:t>
      </w:r>
      <w:proofErr w:type="spellEnd"/>
      <w:r w:rsidRPr="00245754">
        <w:rPr>
          <w:i/>
          <w:iCs/>
          <w:lang w:val="en-US"/>
        </w:rPr>
        <w:t xml:space="preserve"> </w:t>
      </w:r>
      <w:proofErr w:type="spellStart"/>
      <w:r w:rsidRPr="00245754">
        <w:rPr>
          <w:i/>
          <w:iCs/>
          <w:lang w:val="en-US"/>
        </w:rPr>
        <w:t>Konseling</w:t>
      </w:r>
      <w:proofErr w:type="spellEnd"/>
      <w:r w:rsidRPr="00245754">
        <w:rPr>
          <w:lang w:val="en-US"/>
        </w:rPr>
        <w:t xml:space="preserve">, </w:t>
      </w:r>
      <w:r w:rsidRPr="00245754">
        <w:rPr>
          <w:i/>
          <w:iCs/>
          <w:lang w:val="en-US"/>
        </w:rPr>
        <w:t>5</w:t>
      </w:r>
      <w:r w:rsidRPr="00245754">
        <w:rPr>
          <w:lang w:val="en-US"/>
        </w:rPr>
        <w:t>(3), 122–131. https://doi.org/10.17977/um001v5i32020p122</w:t>
      </w:r>
    </w:p>
    <w:p w14:paraId="17738F61" w14:textId="77777777" w:rsidR="00245754" w:rsidRPr="00245754" w:rsidRDefault="00245754" w:rsidP="00245754">
      <w:pPr>
        <w:ind w:left="284" w:hanging="284"/>
        <w:jc w:val="both"/>
        <w:rPr>
          <w:lang w:val="en-US"/>
        </w:rPr>
      </w:pPr>
      <w:r w:rsidRPr="00245754">
        <w:rPr>
          <w:lang w:val="en-US"/>
        </w:rPr>
        <w:t xml:space="preserve">Evans, O. (2020). Socio-economic impacts of novel coronavirus: The policy solutions. </w:t>
      </w:r>
      <w:proofErr w:type="spellStart"/>
      <w:r w:rsidRPr="00245754">
        <w:rPr>
          <w:i/>
          <w:iCs/>
          <w:lang w:val="en-US"/>
        </w:rPr>
        <w:t>BizEcons</w:t>
      </w:r>
      <w:proofErr w:type="spellEnd"/>
      <w:r w:rsidRPr="00245754">
        <w:rPr>
          <w:i/>
          <w:iCs/>
          <w:lang w:val="en-US"/>
        </w:rPr>
        <w:t xml:space="preserve"> Quarterly, Strides Educational Foundation</w:t>
      </w:r>
      <w:r w:rsidRPr="00245754">
        <w:rPr>
          <w:lang w:val="en-US"/>
        </w:rPr>
        <w:t xml:space="preserve">, </w:t>
      </w:r>
      <w:r w:rsidRPr="00245754">
        <w:rPr>
          <w:i/>
          <w:iCs/>
          <w:lang w:val="en-US"/>
        </w:rPr>
        <w:t>7</w:t>
      </w:r>
      <w:r w:rsidRPr="00245754">
        <w:rPr>
          <w:lang w:val="en-US"/>
        </w:rPr>
        <w:t>, 3–12.</w:t>
      </w:r>
    </w:p>
    <w:p w14:paraId="47503AA7" w14:textId="77777777" w:rsidR="00245754" w:rsidRPr="00245754" w:rsidRDefault="00245754" w:rsidP="00245754">
      <w:pPr>
        <w:ind w:left="284" w:hanging="284"/>
        <w:jc w:val="both"/>
        <w:rPr>
          <w:lang w:val="en-US"/>
        </w:rPr>
      </w:pPr>
      <w:proofErr w:type="spellStart"/>
      <w:r w:rsidRPr="00245754">
        <w:rPr>
          <w:lang w:val="en-US"/>
        </w:rPr>
        <w:t>Fauziah</w:t>
      </w:r>
      <w:proofErr w:type="spellEnd"/>
      <w:r w:rsidRPr="00245754">
        <w:rPr>
          <w:lang w:val="en-US"/>
        </w:rPr>
        <w:t xml:space="preserve">, M., </w:t>
      </w:r>
      <w:proofErr w:type="spellStart"/>
      <w:r w:rsidRPr="00245754">
        <w:rPr>
          <w:lang w:val="en-US"/>
        </w:rPr>
        <w:t>Handarini</w:t>
      </w:r>
      <w:proofErr w:type="spellEnd"/>
      <w:r w:rsidRPr="00245754">
        <w:rPr>
          <w:lang w:val="en-US"/>
        </w:rPr>
        <w:t xml:space="preserve">, D. M., &amp; </w:t>
      </w:r>
      <w:proofErr w:type="spellStart"/>
      <w:r w:rsidRPr="00245754">
        <w:rPr>
          <w:lang w:val="en-US"/>
        </w:rPr>
        <w:t>Muslihati</w:t>
      </w:r>
      <w:proofErr w:type="spellEnd"/>
      <w:r w:rsidRPr="00245754">
        <w:rPr>
          <w:lang w:val="en-US"/>
        </w:rPr>
        <w:t>, M. (2018). Self-esteem, Social Support, Personality and Psychological Well Being of Junior High School Student. </w:t>
      </w:r>
      <w:proofErr w:type="spellStart"/>
      <w:r w:rsidRPr="00245754">
        <w:rPr>
          <w:i/>
          <w:iCs/>
          <w:lang w:val="en-US"/>
        </w:rPr>
        <w:t>Jurnal</w:t>
      </w:r>
      <w:proofErr w:type="spellEnd"/>
      <w:r w:rsidRPr="00245754">
        <w:rPr>
          <w:i/>
          <w:iCs/>
          <w:lang w:val="en-US"/>
        </w:rPr>
        <w:t xml:space="preserve"> Pendidikan </w:t>
      </w:r>
      <w:proofErr w:type="spellStart"/>
      <w:r w:rsidRPr="00245754">
        <w:rPr>
          <w:i/>
          <w:iCs/>
          <w:lang w:val="en-US"/>
        </w:rPr>
        <w:t>Humaniora</w:t>
      </w:r>
      <w:proofErr w:type="spellEnd"/>
      <w:r w:rsidRPr="00245754">
        <w:rPr>
          <w:lang w:val="en-US"/>
        </w:rPr>
        <w:t>, </w:t>
      </w:r>
      <w:r w:rsidRPr="00245754">
        <w:rPr>
          <w:i/>
          <w:iCs/>
          <w:lang w:val="en-US"/>
        </w:rPr>
        <w:t>6</w:t>
      </w:r>
      <w:r w:rsidRPr="00245754">
        <w:rPr>
          <w:lang w:val="en-US"/>
        </w:rPr>
        <w:t>(1), 17-23.</w:t>
      </w:r>
    </w:p>
    <w:p w14:paraId="6BE6FE45" w14:textId="77777777" w:rsidR="00245754" w:rsidRPr="00245754" w:rsidRDefault="00245754" w:rsidP="00245754">
      <w:pPr>
        <w:ind w:left="284" w:hanging="284"/>
        <w:jc w:val="both"/>
        <w:rPr>
          <w:lang w:val="en-US"/>
        </w:rPr>
      </w:pPr>
      <w:r w:rsidRPr="00245754">
        <w:rPr>
          <w:lang w:val="en-US"/>
        </w:rPr>
        <w:t>Fernández-</w:t>
      </w:r>
      <w:proofErr w:type="spellStart"/>
      <w:r w:rsidRPr="00245754">
        <w:rPr>
          <w:lang w:val="en-US"/>
        </w:rPr>
        <w:t>Abascal</w:t>
      </w:r>
      <w:proofErr w:type="spellEnd"/>
      <w:r w:rsidRPr="00245754">
        <w:rPr>
          <w:lang w:val="en-US"/>
        </w:rPr>
        <w:t xml:space="preserve">, E. G., &amp; Martín-Díaz, M. D. (2020). Longitudinal study on affect, psychological well-being, depression, mental and physical health, prior to and during the COVID-19 pandemic in Spain. </w:t>
      </w:r>
      <w:r w:rsidRPr="00245754">
        <w:rPr>
          <w:i/>
          <w:lang w:val="en-US"/>
        </w:rPr>
        <w:t>Personality and Individual Differences</w:t>
      </w:r>
      <w:r w:rsidRPr="00245754">
        <w:rPr>
          <w:lang w:val="en-US"/>
        </w:rPr>
        <w:t xml:space="preserve">. </w:t>
      </w:r>
      <w:proofErr w:type="spellStart"/>
      <w:r w:rsidRPr="00245754">
        <w:rPr>
          <w:lang w:val="en-US"/>
        </w:rPr>
        <w:t>doi</w:t>
      </w:r>
      <w:proofErr w:type="spellEnd"/>
      <w:r w:rsidRPr="00245754">
        <w:rPr>
          <w:lang w:val="en-US"/>
        </w:rPr>
        <w:t>: 10.1016/j.paid.2020.110591.</w:t>
      </w:r>
    </w:p>
    <w:p w14:paraId="17B58299" w14:textId="77777777" w:rsidR="00245754" w:rsidRPr="00245754" w:rsidRDefault="00245754" w:rsidP="00245754">
      <w:pPr>
        <w:ind w:left="284" w:hanging="284"/>
        <w:jc w:val="both"/>
        <w:rPr>
          <w:lang w:val="en-US"/>
        </w:rPr>
      </w:pPr>
      <w:proofErr w:type="spellStart"/>
      <w:r w:rsidRPr="00245754">
        <w:rPr>
          <w:lang w:val="en-US"/>
        </w:rPr>
        <w:t>Fitriani</w:t>
      </w:r>
      <w:proofErr w:type="spellEnd"/>
      <w:r w:rsidRPr="00245754">
        <w:rPr>
          <w:lang w:val="en-US"/>
        </w:rPr>
        <w:t xml:space="preserve">, A. (2016). </w:t>
      </w:r>
      <w:proofErr w:type="spellStart"/>
      <w:r w:rsidRPr="00245754">
        <w:rPr>
          <w:lang w:val="en-US"/>
        </w:rPr>
        <w:t>Peran</w:t>
      </w:r>
      <w:proofErr w:type="spellEnd"/>
      <w:r w:rsidRPr="00245754">
        <w:rPr>
          <w:lang w:val="en-US"/>
        </w:rPr>
        <w:t xml:space="preserve"> </w:t>
      </w:r>
      <w:proofErr w:type="spellStart"/>
      <w:r w:rsidRPr="00245754">
        <w:rPr>
          <w:lang w:val="en-US"/>
        </w:rPr>
        <w:t>religiusitas</w:t>
      </w:r>
      <w:proofErr w:type="spellEnd"/>
      <w:r w:rsidRPr="00245754">
        <w:rPr>
          <w:lang w:val="en-US"/>
        </w:rPr>
        <w:t xml:space="preserve"> </w:t>
      </w:r>
      <w:proofErr w:type="spellStart"/>
      <w:r w:rsidRPr="00245754">
        <w:rPr>
          <w:lang w:val="en-US"/>
        </w:rPr>
        <w:t>dalam</w:t>
      </w:r>
      <w:proofErr w:type="spellEnd"/>
      <w:r w:rsidRPr="00245754">
        <w:rPr>
          <w:lang w:val="en-US"/>
        </w:rPr>
        <w:t xml:space="preserve"> </w:t>
      </w:r>
      <w:proofErr w:type="spellStart"/>
      <w:r w:rsidRPr="00245754">
        <w:rPr>
          <w:lang w:val="en-US"/>
        </w:rPr>
        <w:t>meningkatkan</w:t>
      </w:r>
      <w:proofErr w:type="spellEnd"/>
      <w:r w:rsidRPr="00245754">
        <w:rPr>
          <w:lang w:val="en-US"/>
        </w:rPr>
        <w:t xml:space="preserve"> psychological </w:t>
      </w:r>
      <w:proofErr w:type="spellStart"/>
      <w:r w:rsidRPr="00245754">
        <w:rPr>
          <w:lang w:val="en-US"/>
        </w:rPr>
        <w:t>well being</w:t>
      </w:r>
      <w:proofErr w:type="spellEnd"/>
      <w:r w:rsidRPr="00245754">
        <w:rPr>
          <w:lang w:val="en-US"/>
        </w:rPr>
        <w:t>. </w:t>
      </w:r>
      <w:r w:rsidRPr="00245754">
        <w:rPr>
          <w:i/>
          <w:iCs/>
          <w:lang w:val="en-US"/>
        </w:rPr>
        <w:t>Al-</w:t>
      </w:r>
      <w:proofErr w:type="spellStart"/>
      <w:r w:rsidRPr="00245754">
        <w:rPr>
          <w:i/>
          <w:iCs/>
          <w:lang w:val="en-US"/>
        </w:rPr>
        <w:t>Adyan</w:t>
      </w:r>
      <w:proofErr w:type="spellEnd"/>
      <w:r w:rsidRPr="00245754">
        <w:rPr>
          <w:i/>
          <w:iCs/>
          <w:lang w:val="en-US"/>
        </w:rPr>
        <w:t xml:space="preserve">: </w:t>
      </w:r>
      <w:proofErr w:type="spellStart"/>
      <w:r w:rsidRPr="00245754">
        <w:rPr>
          <w:i/>
          <w:iCs/>
          <w:lang w:val="en-US"/>
        </w:rPr>
        <w:t>Jurnal</w:t>
      </w:r>
      <w:proofErr w:type="spellEnd"/>
      <w:r w:rsidRPr="00245754">
        <w:rPr>
          <w:i/>
          <w:iCs/>
          <w:lang w:val="en-US"/>
        </w:rPr>
        <w:t xml:space="preserve"> </w:t>
      </w:r>
      <w:proofErr w:type="spellStart"/>
      <w:r w:rsidRPr="00245754">
        <w:rPr>
          <w:i/>
          <w:iCs/>
          <w:lang w:val="en-US"/>
        </w:rPr>
        <w:t>Studi</w:t>
      </w:r>
      <w:proofErr w:type="spellEnd"/>
      <w:r w:rsidRPr="00245754">
        <w:rPr>
          <w:i/>
          <w:iCs/>
          <w:lang w:val="en-US"/>
        </w:rPr>
        <w:t xml:space="preserve"> Lintas Agama</w:t>
      </w:r>
      <w:r w:rsidRPr="00245754">
        <w:rPr>
          <w:lang w:val="en-US"/>
        </w:rPr>
        <w:t>, </w:t>
      </w:r>
      <w:r w:rsidRPr="00245754">
        <w:rPr>
          <w:i/>
          <w:iCs/>
          <w:lang w:val="en-US"/>
        </w:rPr>
        <w:t>11</w:t>
      </w:r>
      <w:r w:rsidRPr="00245754">
        <w:rPr>
          <w:lang w:val="en-US"/>
        </w:rPr>
        <w:t>(1), 57-80.</w:t>
      </w:r>
    </w:p>
    <w:p w14:paraId="295FDFDB" w14:textId="77777777" w:rsidR="00245754" w:rsidRPr="00245754" w:rsidRDefault="00245754" w:rsidP="00245754">
      <w:pPr>
        <w:ind w:left="284" w:hanging="284"/>
        <w:jc w:val="both"/>
        <w:rPr>
          <w:lang w:val="en-US"/>
        </w:rPr>
      </w:pPr>
      <w:r w:rsidRPr="00245754">
        <w:rPr>
          <w:lang w:val="en-US"/>
        </w:rPr>
        <w:lastRenderedPageBreak/>
        <w:t xml:space="preserve">Halim, C. F., &amp; </w:t>
      </w:r>
      <w:proofErr w:type="spellStart"/>
      <w:r w:rsidRPr="00245754">
        <w:rPr>
          <w:lang w:val="en-US"/>
        </w:rPr>
        <w:t>Dariyo</w:t>
      </w:r>
      <w:proofErr w:type="spellEnd"/>
      <w:r w:rsidRPr="00245754">
        <w:rPr>
          <w:lang w:val="en-US"/>
        </w:rPr>
        <w:t xml:space="preserve">, A. (2016). </w:t>
      </w:r>
      <w:proofErr w:type="spellStart"/>
      <w:r w:rsidRPr="00245754">
        <w:rPr>
          <w:lang w:val="en-US"/>
        </w:rPr>
        <w:t>Hubungan</w:t>
      </w:r>
      <w:proofErr w:type="spellEnd"/>
      <w:r w:rsidRPr="00245754">
        <w:rPr>
          <w:lang w:val="en-US"/>
        </w:rPr>
        <w:t xml:space="preserve"> psychological well-being </w:t>
      </w:r>
      <w:proofErr w:type="spellStart"/>
      <w:r w:rsidRPr="00245754">
        <w:rPr>
          <w:lang w:val="en-US"/>
        </w:rPr>
        <w:t>dengan</w:t>
      </w:r>
      <w:proofErr w:type="spellEnd"/>
      <w:r w:rsidRPr="00245754">
        <w:rPr>
          <w:lang w:val="en-US"/>
        </w:rPr>
        <w:t xml:space="preserve"> loneliness </w:t>
      </w:r>
      <w:proofErr w:type="spellStart"/>
      <w:r w:rsidRPr="00245754">
        <w:rPr>
          <w:lang w:val="en-US"/>
        </w:rPr>
        <w:t>pada</w:t>
      </w:r>
      <w:proofErr w:type="spellEnd"/>
      <w:r w:rsidRPr="00245754">
        <w:rPr>
          <w:lang w:val="en-US"/>
        </w:rPr>
        <w:t xml:space="preserve"> </w:t>
      </w:r>
      <w:proofErr w:type="spellStart"/>
      <w:r w:rsidRPr="00245754">
        <w:rPr>
          <w:lang w:val="en-US"/>
        </w:rPr>
        <w:t>mahasiswa</w:t>
      </w:r>
      <w:proofErr w:type="spellEnd"/>
      <w:r w:rsidRPr="00245754">
        <w:rPr>
          <w:lang w:val="en-US"/>
        </w:rPr>
        <w:t xml:space="preserve"> yang </w:t>
      </w:r>
      <w:proofErr w:type="spellStart"/>
      <w:r w:rsidRPr="00245754">
        <w:rPr>
          <w:lang w:val="en-US"/>
        </w:rPr>
        <w:t>merantau</w:t>
      </w:r>
      <w:proofErr w:type="spellEnd"/>
      <w:r w:rsidRPr="00245754">
        <w:rPr>
          <w:lang w:val="en-US"/>
        </w:rPr>
        <w:t xml:space="preserve">. </w:t>
      </w:r>
      <w:proofErr w:type="spellStart"/>
      <w:r w:rsidRPr="00245754">
        <w:rPr>
          <w:i/>
          <w:lang w:val="en-US"/>
        </w:rPr>
        <w:t>Jurnal</w:t>
      </w:r>
      <w:proofErr w:type="spellEnd"/>
      <w:r w:rsidRPr="00245754">
        <w:rPr>
          <w:i/>
          <w:lang w:val="en-US"/>
        </w:rPr>
        <w:t xml:space="preserve"> </w:t>
      </w:r>
      <w:proofErr w:type="spellStart"/>
      <w:r w:rsidRPr="00245754">
        <w:rPr>
          <w:i/>
          <w:lang w:val="en-US"/>
        </w:rPr>
        <w:t>Psikogenesis</w:t>
      </w:r>
      <w:proofErr w:type="spellEnd"/>
      <w:r w:rsidRPr="00245754">
        <w:rPr>
          <w:i/>
          <w:lang w:val="en-US"/>
        </w:rPr>
        <w:t>, 4</w:t>
      </w:r>
      <w:r w:rsidRPr="00245754">
        <w:rPr>
          <w:lang w:val="en-US"/>
        </w:rPr>
        <w:t>(2), 170-181.</w:t>
      </w:r>
    </w:p>
    <w:p w14:paraId="5E1B97D8" w14:textId="77777777" w:rsidR="00245754" w:rsidRPr="00245754" w:rsidRDefault="00245754" w:rsidP="00245754">
      <w:pPr>
        <w:ind w:left="284" w:hanging="284"/>
        <w:jc w:val="both"/>
        <w:rPr>
          <w:lang w:val="en-US"/>
        </w:rPr>
      </w:pPr>
      <w:proofErr w:type="spellStart"/>
      <w:r w:rsidRPr="00245754">
        <w:rPr>
          <w:lang w:val="en-US"/>
        </w:rPr>
        <w:t>Hardjo</w:t>
      </w:r>
      <w:proofErr w:type="spellEnd"/>
      <w:r w:rsidRPr="00245754">
        <w:rPr>
          <w:lang w:val="en-US"/>
        </w:rPr>
        <w:t xml:space="preserve">, S., &amp; Novita, E. (2015). </w:t>
      </w:r>
      <w:proofErr w:type="spellStart"/>
      <w:r w:rsidRPr="00245754">
        <w:rPr>
          <w:lang w:val="en-US"/>
        </w:rPr>
        <w:t>Hubungan</w:t>
      </w:r>
      <w:proofErr w:type="spellEnd"/>
      <w:r w:rsidRPr="00245754">
        <w:rPr>
          <w:lang w:val="en-US"/>
        </w:rPr>
        <w:t xml:space="preserve"> </w:t>
      </w:r>
      <w:proofErr w:type="spellStart"/>
      <w:r w:rsidRPr="00245754">
        <w:rPr>
          <w:lang w:val="en-US"/>
        </w:rPr>
        <w:t>dukungan</w:t>
      </w:r>
      <w:proofErr w:type="spellEnd"/>
      <w:r w:rsidRPr="00245754">
        <w:rPr>
          <w:lang w:val="en-US"/>
        </w:rPr>
        <w:t xml:space="preserve"> </w:t>
      </w:r>
      <w:proofErr w:type="spellStart"/>
      <w:r w:rsidRPr="00245754">
        <w:rPr>
          <w:lang w:val="en-US"/>
        </w:rPr>
        <w:t>sosial</w:t>
      </w:r>
      <w:proofErr w:type="spellEnd"/>
      <w:r w:rsidRPr="00245754">
        <w:rPr>
          <w:lang w:val="en-US"/>
        </w:rPr>
        <w:t xml:space="preserve"> </w:t>
      </w:r>
      <w:proofErr w:type="spellStart"/>
      <w:r w:rsidRPr="00245754">
        <w:rPr>
          <w:lang w:val="en-US"/>
        </w:rPr>
        <w:t>dengan</w:t>
      </w:r>
      <w:proofErr w:type="spellEnd"/>
      <w:r w:rsidRPr="00245754">
        <w:rPr>
          <w:lang w:val="en-US"/>
        </w:rPr>
        <w:t xml:space="preserve"> psychological well-being </w:t>
      </w:r>
      <w:proofErr w:type="spellStart"/>
      <w:r w:rsidRPr="00245754">
        <w:rPr>
          <w:lang w:val="en-US"/>
        </w:rPr>
        <w:t>pada</w:t>
      </w:r>
      <w:proofErr w:type="spellEnd"/>
      <w:r w:rsidRPr="00245754">
        <w:rPr>
          <w:lang w:val="en-US"/>
        </w:rPr>
        <w:t xml:space="preserve"> </w:t>
      </w:r>
      <w:proofErr w:type="spellStart"/>
      <w:r w:rsidRPr="00245754">
        <w:rPr>
          <w:lang w:val="en-US"/>
        </w:rPr>
        <w:t>remaja</w:t>
      </w:r>
      <w:proofErr w:type="spellEnd"/>
      <w:r w:rsidRPr="00245754">
        <w:rPr>
          <w:lang w:val="en-US"/>
        </w:rPr>
        <w:t xml:space="preserve"> korban sexual abuse. </w:t>
      </w:r>
      <w:proofErr w:type="spellStart"/>
      <w:r w:rsidRPr="00245754">
        <w:rPr>
          <w:i/>
          <w:iCs/>
          <w:lang w:val="en-US"/>
        </w:rPr>
        <w:t>Analitika</w:t>
      </w:r>
      <w:proofErr w:type="spellEnd"/>
      <w:r w:rsidRPr="00245754">
        <w:rPr>
          <w:i/>
          <w:iCs/>
          <w:lang w:val="en-US"/>
        </w:rPr>
        <w:t xml:space="preserve">: </w:t>
      </w:r>
      <w:proofErr w:type="spellStart"/>
      <w:r w:rsidRPr="00245754">
        <w:rPr>
          <w:i/>
          <w:iCs/>
          <w:lang w:val="en-US"/>
        </w:rPr>
        <w:t>Jurnal</w:t>
      </w:r>
      <w:proofErr w:type="spellEnd"/>
      <w:r w:rsidRPr="00245754">
        <w:rPr>
          <w:i/>
          <w:iCs/>
          <w:lang w:val="en-US"/>
        </w:rPr>
        <w:t xml:space="preserve"> Magister </w:t>
      </w:r>
      <w:proofErr w:type="spellStart"/>
      <w:r w:rsidRPr="00245754">
        <w:rPr>
          <w:i/>
          <w:iCs/>
          <w:lang w:val="en-US"/>
        </w:rPr>
        <w:t>Psikologi</w:t>
      </w:r>
      <w:proofErr w:type="spellEnd"/>
      <w:r w:rsidRPr="00245754">
        <w:rPr>
          <w:i/>
          <w:iCs/>
          <w:lang w:val="en-US"/>
        </w:rPr>
        <w:t xml:space="preserve"> UMA</w:t>
      </w:r>
      <w:r w:rsidRPr="00245754">
        <w:rPr>
          <w:lang w:val="en-US"/>
        </w:rPr>
        <w:t>, </w:t>
      </w:r>
      <w:r w:rsidRPr="00245754">
        <w:rPr>
          <w:i/>
          <w:iCs/>
          <w:lang w:val="en-US"/>
        </w:rPr>
        <w:t>7</w:t>
      </w:r>
      <w:r w:rsidRPr="00245754">
        <w:rPr>
          <w:lang w:val="en-US"/>
        </w:rPr>
        <w:t>(1), 12-19.</w:t>
      </w:r>
    </w:p>
    <w:p w14:paraId="639D17A7" w14:textId="77777777" w:rsidR="00245754" w:rsidRPr="00245754" w:rsidRDefault="00245754" w:rsidP="00245754">
      <w:pPr>
        <w:ind w:left="284" w:hanging="284"/>
        <w:jc w:val="both"/>
        <w:rPr>
          <w:lang w:val="en-US"/>
        </w:rPr>
      </w:pPr>
      <w:r w:rsidRPr="00245754">
        <w:rPr>
          <w:lang w:val="en-US"/>
        </w:rPr>
        <w:t xml:space="preserve">Hartanto, D., Bhakti, C. P., &amp; </w:t>
      </w:r>
      <w:proofErr w:type="spellStart"/>
      <w:r w:rsidRPr="00245754">
        <w:rPr>
          <w:lang w:val="en-US"/>
        </w:rPr>
        <w:t>Kurniasih</w:t>
      </w:r>
      <w:proofErr w:type="spellEnd"/>
      <w:r w:rsidRPr="00245754">
        <w:rPr>
          <w:lang w:val="en-US"/>
        </w:rPr>
        <w:t xml:space="preserve">, C. (2021, August). </w:t>
      </w:r>
      <w:proofErr w:type="spellStart"/>
      <w:r w:rsidRPr="00245754">
        <w:rPr>
          <w:lang w:val="en-US"/>
        </w:rPr>
        <w:t>Urgensi</w:t>
      </w:r>
      <w:proofErr w:type="spellEnd"/>
      <w:r w:rsidRPr="00245754">
        <w:rPr>
          <w:lang w:val="en-US"/>
        </w:rPr>
        <w:t xml:space="preserve"> </w:t>
      </w:r>
      <w:proofErr w:type="spellStart"/>
      <w:r w:rsidRPr="00245754">
        <w:rPr>
          <w:lang w:val="en-US"/>
        </w:rPr>
        <w:t>Bimbingan</w:t>
      </w:r>
      <w:proofErr w:type="spellEnd"/>
      <w:r w:rsidRPr="00245754">
        <w:rPr>
          <w:lang w:val="en-US"/>
        </w:rPr>
        <w:t xml:space="preserve"> </w:t>
      </w:r>
      <w:proofErr w:type="spellStart"/>
      <w:r w:rsidRPr="00245754">
        <w:rPr>
          <w:lang w:val="en-US"/>
        </w:rPr>
        <w:t>dan</w:t>
      </w:r>
      <w:proofErr w:type="spellEnd"/>
      <w:r w:rsidRPr="00245754">
        <w:rPr>
          <w:lang w:val="en-US"/>
        </w:rPr>
        <w:t xml:space="preserve"> </w:t>
      </w:r>
      <w:proofErr w:type="spellStart"/>
      <w:r w:rsidRPr="00245754">
        <w:rPr>
          <w:lang w:val="en-US"/>
        </w:rPr>
        <w:t>Konseling</w:t>
      </w:r>
      <w:proofErr w:type="spellEnd"/>
      <w:r w:rsidRPr="00245754">
        <w:rPr>
          <w:lang w:val="en-US"/>
        </w:rPr>
        <w:t xml:space="preserve"> di </w:t>
      </w:r>
      <w:proofErr w:type="spellStart"/>
      <w:r w:rsidRPr="00245754">
        <w:rPr>
          <w:lang w:val="en-US"/>
        </w:rPr>
        <w:t>Perguruan</w:t>
      </w:r>
      <w:proofErr w:type="spellEnd"/>
      <w:r w:rsidRPr="00245754">
        <w:rPr>
          <w:lang w:val="en-US"/>
        </w:rPr>
        <w:t xml:space="preserve"> Tinggi. In </w:t>
      </w:r>
      <w:proofErr w:type="spellStart"/>
      <w:r w:rsidRPr="00245754">
        <w:rPr>
          <w:i/>
          <w:iCs/>
          <w:lang w:val="en-US"/>
        </w:rPr>
        <w:t>Prosiding</w:t>
      </w:r>
      <w:proofErr w:type="spellEnd"/>
      <w:r w:rsidRPr="00245754">
        <w:rPr>
          <w:i/>
          <w:iCs/>
          <w:lang w:val="en-US"/>
        </w:rPr>
        <w:t xml:space="preserve"> Seminar Nasional </w:t>
      </w:r>
      <w:proofErr w:type="spellStart"/>
      <w:r w:rsidRPr="00245754">
        <w:rPr>
          <w:i/>
          <w:iCs/>
          <w:lang w:val="en-US"/>
        </w:rPr>
        <w:t>Bimbingan</w:t>
      </w:r>
      <w:proofErr w:type="spellEnd"/>
      <w:r w:rsidRPr="00245754">
        <w:rPr>
          <w:i/>
          <w:iCs/>
          <w:lang w:val="en-US"/>
        </w:rPr>
        <w:t xml:space="preserve"> </w:t>
      </w:r>
      <w:proofErr w:type="spellStart"/>
      <w:r w:rsidRPr="00245754">
        <w:rPr>
          <w:i/>
          <w:iCs/>
          <w:lang w:val="en-US"/>
        </w:rPr>
        <w:t>dan</w:t>
      </w:r>
      <w:proofErr w:type="spellEnd"/>
      <w:r w:rsidRPr="00245754">
        <w:rPr>
          <w:i/>
          <w:iCs/>
          <w:lang w:val="en-US"/>
        </w:rPr>
        <w:t xml:space="preserve"> </w:t>
      </w:r>
      <w:proofErr w:type="spellStart"/>
      <w:r w:rsidRPr="00245754">
        <w:rPr>
          <w:i/>
          <w:iCs/>
          <w:lang w:val="en-US"/>
        </w:rPr>
        <w:t>Konseling</w:t>
      </w:r>
      <w:proofErr w:type="spellEnd"/>
      <w:r w:rsidRPr="00245754">
        <w:rPr>
          <w:i/>
          <w:iCs/>
          <w:lang w:val="en-US"/>
        </w:rPr>
        <w:t xml:space="preserve"> </w:t>
      </w:r>
      <w:proofErr w:type="spellStart"/>
      <w:r w:rsidRPr="00245754">
        <w:rPr>
          <w:i/>
          <w:iCs/>
          <w:lang w:val="en-US"/>
        </w:rPr>
        <w:t>Universitas</w:t>
      </w:r>
      <w:proofErr w:type="spellEnd"/>
      <w:r w:rsidRPr="00245754">
        <w:rPr>
          <w:i/>
          <w:iCs/>
          <w:lang w:val="en-US"/>
        </w:rPr>
        <w:t xml:space="preserve"> Ahmad </w:t>
      </w:r>
      <w:proofErr w:type="spellStart"/>
      <w:r w:rsidRPr="00245754">
        <w:rPr>
          <w:i/>
          <w:iCs/>
          <w:lang w:val="en-US"/>
        </w:rPr>
        <w:t>Dahlan</w:t>
      </w:r>
      <w:proofErr w:type="spellEnd"/>
      <w:r w:rsidRPr="00245754">
        <w:rPr>
          <w:lang w:val="en-US"/>
        </w:rPr>
        <w:t> (Vol. 1).</w:t>
      </w:r>
    </w:p>
    <w:p w14:paraId="1CA147DF" w14:textId="77777777" w:rsidR="00245754" w:rsidRPr="00245754" w:rsidRDefault="00245754" w:rsidP="00245754">
      <w:pPr>
        <w:ind w:left="284" w:hanging="284"/>
        <w:jc w:val="both"/>
        <w:rPr>
          <w:lang w:val="en-US"/>
        </w:rPr>
      </w:pPr>
      <w:r w:rsidRPr="00245754">
        <w:rPr>
          <w:lang w:val="en-US"/>
        </w:rPr>
        <w:t xml:space="preserve">Idowu, A., </w:t>
      </w:r>
      <w:proofErr w:type="spellStart"/>
      <w:r w:rsidRPr="00245754">
        <w:rPr>
          <w:lang w:val="en-US"/>
        </w:rPr>
        <w:t>Olawuyi</w:t>
      </w:r>
      <w:proofErr w:type="spellEnd"/>
      <w:r w:rsidRPr="00245754">
        <w:rPr>
          <w:lang w:val="en-US"/>
        </w:rPr>
        <w:t xml:space="preserve">, D. A., &amp; </w:t>
      </w:r>
      <w:proofErr w:type="spellStart"/>
      <w:r w:rsidRPr="00245754">
        <w:rPr>
          <w:lang w:val="en-US"/>
        </w:rPr>
        <w:t>Nwadioke</w:t>
      </w:r>
      <w:proofErr w:type="spellEnd"/>
      <w:r w:rsidRPr="00245754">
        <w:rPr>
          <w:lang w:val="en-US"/>
        </w:rPr>
        <w:t xml:space="preserve">, C. O. (2020). Impacts of covid-19 pandemic on the psychological well-being of students in a Nigerian University. </w:t>
      </w:r>
      <w:r w:rsidRPr="00245754">
        <w:rPr>
          <w:i/>
          <w:lang w:val="en-US"/>
        </w:rPr>
        <w:t>Journal of Medical and Surgical Research, 7</w:t>
      </w:r>
      <w:r w:rsidRPr="00245754">
        <w:rPr>
          <w:lang w:val="en-US"/>
        </w:rPr>
        <w:t>(3), 798–806.</w:t>
      </w:r>
    </w:p>
    <w:p w14:paraId="724F068F" w14:textId="77777777" w:rsidR="00245754" w:rsidRPr="00245754" w:rsidRDefault="00245754" w:rsidP="00245754">
      <w:pPr>
        <w:ind w:left="284" w:hanging="284"/>
        <w:jc w:val="both"/>
        <w:rPr>
          <w:lang w:val="en-US"/>
        </w:rPr>
      </w:pPr>
      <w:proofErr w:type="spellStart"/>
      <w:r w:rsidRPr="00245754">
        <w:rPr>
          <w:lang w:val="en-US"/>
        </w:rPr>
        <w:t>Kusumawati</w:t>
      </w:r>
      <w:proofErr w:type="spellEnd"/>
      <w:r w:rsidRPr="00245754">
        <w:rPr>
          <w:lang w:val="en-US"/>
        </w:rPr>
        <w:t xml:space="preserve">, F. T., </w:t>
      </w:r>
      <w:proofErr w:type="spellStart"/>
      <w:r w:rsidRPr="00245754">
        <w:rPr>
          <w:lang w:val="en-US"/>
        </w:rPr>
        <w:t>Dwiantoro</w:t>
      </w:r>
      <w:proofErr w:type="spellEnd"/>
      <w:r w:rsidRPr="00245754">
        <w:rPr>
          <w:lang w:val="en-US"/>
        </w:rPr>
        <w:t xml:space="preserve">, L., &amp; </w:t>
      </w:r>
      <w:proofErr w:type="spellStart"/>
      <w:r w:rsidRPr="00245754">
        <w:rPr>
          <w:lang w:val="en-US"/>
        </w:rPr>
        <w:t>Nurmalia</w:t>
      </w:r>
      <w:proofErr w:type="spellEnd"/>
      <w:r w:rsidRPr="00245754">
        <w:rPr>
          <w:lang w:val="en-US"/>
        </w:rPr>
        <w:t xml:space="preserve">, D. (2021). Psychological well-being </w:t>
      </w:r>
      <w:proofErr w:type="spellStart"/>
      <w:r w:rsidRPr="00245754">
        <w:rPr>
          <w:lang w:val="en-US"/>
        </w:rPr>
        <w:t>perawat</w:t>
      </w:r>
      <w:proofErr w:type="spellEnd"/>
      <w:r w:rsidRPr="00245754">
        <w:rPr>
          <w:lang w:val="en-US"/>
        </w:rPr>
        <w:t xml:space="preserve"> </w:t>
      </w:r>
      <w:proofErr w:type="spellStart"/>
      <w:r w:rsidRPr="00245754">
        <w:rPr>
          <w:lang w:val="en-US"/>
        </w:rPr>
        <w:t>igd</w:t>
      </w:r>
      <w:proofErr w:type="spellEnd"/>
      <w:r w:rsidRPr="00245754">
        <w:rPr>
          <w:lang w:val="en-US"/>
        </w:rPr>
        <w:t xml:space="preserve"> </w:t>
      </w:r>
      <w:proofErr w:type="spellStart"/>
      <w:r w:rsidRPr="00245754">
        <w:rPr>
          <w:lang w:val="en-US"/>
        </w:rPr>
        <w:t>rumah</w:t>
      </w:r>
      <w:proofErr w:type="spellEnd"/>
      <w:r w:rsidRPr="00245754">
        <w:rPr>
          <w:lang w:val="en-US"/>
        </w:rPr>
        <w:t xml:space="preserve"> </w:t>
      </w:r>
      <w:proofErr w:type="spellStart"/>
      <w:r w:rsidRPr="00245754">
        <w:rPr>
          <w:lang w:val="en-US"/>
        </w:rPr>
        <w:t>sakit</w:t>
      </w:r>
      <w:proofErr w:type="spellEnd"/>
      <w:r w:rsidRPr="00245754">
        <w:rPr>
          <w:lang w:val="en-US"/>
        </w:rPr>
        <w:t xml:space="preserve"> </w:t>
      </w:r>
      <w:proofErr w:type="spellStart"/>
      <w:r w:rsidRPr="00245754">
        <w:rPr>
          <w:lang w:val="en-US"/>
        </w:rPr>
        <w:t>jiwa</w:t>
      </w:r>
      <w:proofErr w:type="spellEnd"/>
      <w:r w:rsidRPr="00245754">
        <w:rPr>
          <w:lang w:val="en-US"/>
        </w:rPr>
        <w:t xml:space="preserve"> </w:t>
      </w:r>
      <w:proofErr w:type="spellStart"/>
      <w:r w:rsidRPr="00245754">
        <w:rPr>
          <w:lang w:val="en-US"/>
        </w:rPr>
        <w:t>dalam</w:t>
      </w:r>
      <w:proofErr w:type="spellEnd"/>
      <w:r w:rsidRPr="00245754">
        <w:rPr>
          <w:lang w:val="en-US"/>
        </w:rPr>
        <w:t xml:space="preserve"> masa </w:t>
      </w:r>
      <w:proofErr w:type="spellStart"/>
      <w:r w:rsidRPr="00245754">
        <w:rPr>
          <w:lang w:val="en-US"/>
        </w:rPr>
        <w:t>tugas</w:t>
      </w:r>
      <w:proofErr w:type="spellEnd"/>
      <w:r w:rsidRPr="00245754">
        <w:rPr>
          <w:lang w:val="en-US"/>
        </w:rPr>
        <w:t xml:space="preserve"> covid-19: </w:t>
      </w:r>
      <w:proofErr w:type="spellStart"/>
      <w:r w:rsidRPr="00245754">
        <w:rPr>
          <w:lang w:val="en-US"/>
        </w:rPr>
        <w:t>Studi</w:t>
      </w:r>
      <w:proofErr w:type="spellEnd"/>
      <w:r w:rsidRPr="00245754">
        <w:rPr>
          <w:lang w:val="en-US"/>
        </w:rPr>
        <w:t xml:space="preserve"> </w:t>
      </w:r>
      <w:proofErr w:type="spellStart"/>
      <w:r w:rsidRPr="00245754">
        <w:rPr>
          <w:lang w:val="en-US"/>
        </w:rPr>
        <w:t>fenomenologi</w:t>
      </w:r>
      <w:proofErr w:type="spellEnd"/>
      <w:r w:rsidRPr="00245754">
        <w:rPr>
          <w:lang w:val="en-US"/>
        </w:rPr>
        <w:t xml:space="preserve">. </w:t>
      </w:r>
      <w:proofErr w:type="spellStart"/>
      <w:r w:rsidRPr="00245754">
        <w:rPr>
          <w:i/>
          <w:lang w:val="en-US"/>
        </w:rPr>
        <w:t>Jurnal</w:t>
      </w:r>
      <w:proofErr w:type="spellEnd"/>
      <w:r w:rsidRPr="00245754">
        <w:rPr>
          <w:i/>
          <w:lang w:val="en-US"/>
        </w:rPr>
        <w:t xml:space="preserve"> Surya Muda, 3</w:t>
      </w:r>
      <w:r w:rsidRPr="00245754">
        <w:rPr>
          <w:lang w:val="en-US"/>
        </w:rPr>
        <w:t>(2), 76-101.</w:t>
      </w:r>
    </w:p>
    <w:p w14:paraId="5CBB7FE7" w14:textId="77777777" w:rsidR="00245754" w:rsidRPr="00245754" w:rsidRDefault="00245754" w:rsidP="00245754">
      <w:pPr>
        <w:ind w:left="284" w:hanging="284"/>
        <w:jc w:val="both"/>
        <w:rPr>
          <w:lang w:val="en-US"/>
        </w:rPr>
      </w:pPr>
      <w:proofErr w:type="spellStart"/>
      <w:r w:rsidRPr="00245754">
        <w:rPr>
          <w:lang w:val="en-US"/>
        </w:rPr>
        <w:t>Linawati</w:t>
      </w:r>
      <w:proofErr w:type="spellEnd"/>
      <w:r w:rsidRPr="00245754">
        <w:rPr>
          <w:lang w:val="en-US"/>
        </w:rPr>
        <w:t xml:space="preserve">, R. A., &amp; </w:t>
      </w:r>
      <w:proofErr w:type="spellStart"/>
      <w:r w:rsidRPr="00245754">
        <w:rPr>
          <w:lang w:val="en-US"/>
        </w:rPr>
        <w:t>Desiningrum</w:t>
      </w:r>
      <w:proofErr w:type="spellEnd"/>
      <w:r w:rsidRPr="00245754">
        <w:rPr>
          <w:lang w:val="en-US"/>
        </w:rPr>
        <w:t xml:space="preserve">, D. R. (2017). </w:t>
      </w:r>
      <w:proofErr w:type="spellStart"/>
      <w:r w:rsidRPr="00245754">
        <w:rPr>
          <w:lang w:val="en-US"/>
        </w:rPr>
        <w:t>Hubungan</w:t>
      </w:r>
      <w:proofErr w:type="spellEnd"/>
      <w:r w:rsidRPr="00245754">
        <w:rPr>
          <w:lang w:val="en-US"/>
        </w:rPr>
        <w:t xml:space="preserve"> </w:t>
      </w:r>
      <w:proofErr w:type="spellStart"/>
      <w:r w:rsidRPr="00245754">
        <w:rPr>
          <w:lang w:val="en-US"/>
        </w:rPr>
        <w:t>antara</w:t>
      </w:r>
      <w:proofErr w:type="spellEnd"/>
      <w:r w:rsidRPr="00245754">
        <w:rPr>
          <w:lang w:val="en-US"/>
        </w:rPr>
        <w:t xml:space="preserve"> </w:t>
      </w:r>
      <w:proofErr w:type="spellStart"/>
      <w:r w:rsidRPr="00245754">
        <w:rPr>
          <w:lang w:val="en-US"/>
        </w:rPr>
        <w:t>religiusitas</w:t>
      </w:r>
      <w:proofErr w:type="spellEnd"/>
      <w:r w:rsidRPr="00245754">
        <w:rPr>
          <w:lang w:val="en-US"/>
        </w:rPr>
        <w:t xml:space="preserve"> </w:t>
      </w:r>
      <w:proofErr w:type="spellStart"/>
      <w:r w:rsidRPr="00245754">
        <w:rPr>
          <w:lang w:val="en-US"/>
        </w:rPr>
        <w:t>dengan</w:t>
      </w:r>
      <w:proofErr w:type="spellEnd"/>
      <w:r w:rsidRPr="00245754">
        <w:rPr>
          <w:lang w:val="en-US"/>
        </w:rPr>
        <w:t xml:space="preserve"> psychological well-being </w:t>
      </w:r>
      <w:proofErr w:type="spellStart"/>
      <w:r w:rsidRPr="00245754">
        <w:rPr>
          <w:lang w:val="en-US"/>
        </w:rPr>
        <w:t>pada</w:t>
      </w:r>
      <w:proofErr w:type="spellEnd"/>
      <w:r w:rsidRPr="00245754">
        <w:rPr>
          <w:lang w:val="en-US"/>
        </w:rPr>
        <w:t xml:space="preserve"> </w:t>
      </w:r>
      <w:proofErr w:type="spellStart"/>
      <w:r w:rsidRPr="00245754">
        <w:rPr>
          <w:lang w:val="en-US"/>
        </w:rPr>
        <w:t>siswa</w:t>
      </w:r>
      <w:proofErr w:type="spellEnd"/>
      <w:r w:rsidRPr="00245754">
        <w:rPr>
          <w:lang w:val="en-US"/>
        </w:rPr>
        <w:t xml:space="preserve"> SMP Muhammadiyah 7 Semarang. </w:t>
      </w:r>
      <w:proofErr w:type="spellStart"/>
      <w:r w:rsidRPr="00245754">
        <w:rPr>
          <w:i/>
          <w:iCs/>
          <w:lang w:val="en-US"/>
        </w:rPr>
        <w:t>Jurnal</w:t>
      </w:r>
      <w:proofErr w:type="spellEnd"/>
      <w:r w:rsidRPr="00245754">
        <w:rPr>
          <w:i/>
          <w:iCs/>
          <w:lang w:val="en-US"/>
        </w:rPr>
        <w:t xml:space="preserve"> </w:t>
      </w:r>
      <w:proofErr w:type="spellStart"/>
      <w:r w:rsidRPr="00245754">
        <w:rPr>
          <w:i/>
          <w:iCs/>
          <w:lang w:val="en-US"/>
        </w:rPr>
        <w:t>Empati</w:t>
      </w:r>
      <w:proofErr w:type="spellEnd"/>
      <w:r w:rsidRPr="00245754">
        <w:rPr>
          <w:lang w:val="en-US"/>
        </w:rPr>
        <w:t xml:space="preserve">, </w:t>
      </w:r>
      <w:r w:rsidRPr="00245754">
        <w:rPr>
          <w:i/>
          <w:iCs/>
          <w:lang w:val="en-US"/>
        </w:rPr>
        <w:t>7</w:t>
      </w:r>
      <w:r w:rsidRPr="00245754">
        <w:rPr>
          <w:lang w:val="en-US"/>
        </w:rPr>
        <w:t>(3), 105–109.</w:t>
      </w:r>
    </w:p>
    <w:p w14:paraId="2026A6BF" w14:textId="77777777" w:rsidR="00245754" w:rsidRPr="00245754" w:rsidRDefault="00245754" w:rsidP="00245754">
      <w:pPr>
        <w:ind w:left="284" w:hanging="284"/>
        <w:jc w:val="both"/>
        <w:rPr>
          <w:lang w:val="en-US"/>
        </w:rPr>
      </w:pPr>
      <w:r w:rsidRPr="00245754">
        <w:rPr>
          <w:lang w:val="en-US"/>
        </w:rPr>
        <w:t xml:space="preserve">Lyubomirsky, S., &amp; </w:t>
      </w:r>
      <w:proofErr w:type="spellStart"/>
      <w:r w:rsidRPr="00245754">
        <w:rPr>
          <w:lang w:val="en-US"/>
        </w:rPr>
        <w:t>Layous</w:t>
      </w:r>
      <w:proofErr w:type="spellEnd"/>
      <w:r w:rsidRPr="00245754">
        <w:rPr>
          <w:lang w:val="en-US"/>
        </w:rPr>
        <w:t>, K. (2013). How do simple positive activities increase well-</w:t>
      </w:r>
      <w:proofErr w:type="gramStart"/>
      <w:r w:rsidRPr="00245754">
        <w:rPr>
          <w:lang w:val="en-US"/>
        </w:rPr>
        <w:t>being?.</w:t>
      </w:r>
      <w:proofErr w:type="gramEnd"/>
      <w:r w:rsidRPr="00245754">
        <w:rPr>
          <w:lang w:val="en-US"/>
        </w:rPr>
        <w:t> </w:t>
      </w:r>
      <w:r w:rsidRPr="00245754">
        <w:rPr>
          <w:i/>
          <w:iCs/>
          <w:lang w:val="en-US"/>
        </w:rPr>
        <w:t>Current directions in psychological science</w:t>
      </w:r>
      <w:r w:rsidRPr="00245754">
        <w:rPr>
          <w:lang w:val="en-US"/>
        </w:rPr>
        <w:t>, </w:t>
      </w:r>
      <w:r w:rsidRPr="00245754">
        <w:rPr>
          <w:i/>
          <w:iCs/>
          <w:lang w:val="en-US"/>
        </w:rPr>
        <w:t>22</w:t>
      </w:r>
      <w:r w:rsidRPr="00245754">
        <w:rPr>
          <w:lang w:val="en-US"/>
        </w:rPr>
        <w:t>(1), 57-62.</w:t>
      </w:r>
    </w:p>
    <w:p w14:paraId="05D7C176" w14:textId="77777777" w:rsidR="00245754" w:rsidRPr="00245754" w:rsidRDefault="00245754" w:rsidP="00245754">
      <w:pPr>
        <w:ind w:left="284" w:hanging="284"/>
        <w:jc w:val="both"/>
        <w:rPr>
          <w:lang w:val="en-US"/>
        </w:rPr>
      </w:pPr>
      <w:r w:rsidRPr="00245754">
        <w:rPr>
          <w:lang w:val="en-US"/>
        </w:rPr>
        <w:t xml:space="preserve">Lyubomirsky, S., Sheldon, K. M., &amp; </w:t>
      </w:r>
      <w:proofErr w:type="spellStart"/>
      <w:r w:rsidRPr="00245754">
        <w:rPr>
          <w:lang w:val="en-US"/>
        </w:rPr>
        <w:t>Schkade</w:t>
      </w:r>
      <w:proofErr w:type="spellEnd"/>
      <w:r w:rsidRPr="00245754">
        <w:rPr>
          <w:lang w:val="en-US"/>
        </w:rPr>
        <w:t>, D. (2005). Pursuing happiness: The architecture of sustainable change. Review of General Psychology, 9, 111–131.</w:t>
      </w:r>
    </w:p>
    <w:p w14:paraId="412577B3" w14:textId="77777777" w:rsidR="00245754" w:rsidRPr="00245754" w:rsidRDefault="00245754" w:rsidP="00245754">
      <w:pPr>
        <w:ind w:left="284" w:hanging="284"/>
        <w:jc w:val="both"/>
        <w:rPr>
          <w:lang w:val="en-US"/>
        </w:rPr>
      </w:pPr>
      <w:r w:rsidRPr="00245754">
        <w:rPr>
          <w:lang w:val="en-US"/>
        </w:rPr>
        <w:t xml:space="preserve">MOEC. (2020). Circular No. 4 concerning the implementation of education policy in the emergency of the spread of coronavirus disease (COVID-19). Jakarta: Indonesian Ministry of Education and Culture. </w:t>
      </w:r>
    </w:p>
    <w:p w14:paraId="556DF1D5" w14:textId="77777777" w:rsidR="00245754" w:rsidRPr="00245754" w:rsidRDefault="00245754" w:rsidP="00245754">
      <w:pPr>
        <w:ind w:left="284" w:hanging="284"/>
        <w:jc w:val="both"/>
        <w:rPr>
          <w:lang w:val="en-US"/>
        </w:rPr>
      </w:pPr>
      <w:r w:rsidRPr="00245754">
        <w:rPr>
          <w:lang w:val="en-US"/>
        </w:rPr>
        <w:t xml:space="preserve">Mustafa, M. B., Rani, N. H. M., </w:t>
      </w:r>
      <w:proofErr w:type="spellStart"/>
      <w:r w:rsidRPr="00245754">
        <w:rPr>
          <w:lang w:val="en-US"/>
        </w:rPr>
        <w:t>Bistaman</w:t>
      </w:r>
      <w:proofErr w:type="spellEnd"/>
      <w:r w:rsidRPr="00245754">
        <w:rPr>
          <w:lang w:val="en-US"/>
        </w:rPr>
        <w:t xml:space="preserve">, M. N., Salim, S. S. S., Ahmad, A., Zakaria, N. H., &amp; </w:t>
      </w:r>
      <w:proofErr w:type="spellStart"/>
      <w:r w:rsidRPr="00245754">
        <w:rPr>
          <w:lang w:val="en-US"/>
        </w:rPr>
        <w:t>Safian</w:t>
      </w:r>
      <w:proofErr w:type="spellEnd"/>
      <w:r w:rsidRPr="00245754">
        <w:rPr>
          <w:lang w:val="en-US"/>
        </w:rPr>
        <w:t xml:space="preserve">, N. A. A. (2020). The relationship between psychological well-being and university </w:t>
      </w:r>
      <w:proofErr w:type="gramStart"/>
      <w:r w:rsidRPr="00245754">
        <w:rPr>
          <w:lang w:val="en-US"/>
        </w:rPr>
        <w:t>students</w:t>
      </w:r>
      <w:proofErr w:type="gramEnd"/>
      <w:r w:rsidRPr="00245754">
        <w:rPr>
          <w:lang w:val="en-US"/>
        </w:rPr>
        <w:t xml:space="preserve"> academic achievement. </w:t>
      </w:r>
      <w:r w:rsidRPr="00245754">
        <w:rPr>
          <w:i/>
          <w:lang w:val="en-US"/>
        </w:rPr>
        <w:t>International Journal of Academic Research in Business and Social Sciences, 10</w:t>
      </w:r>
      <w:r w:rsidRPr="00245754">
        <w:rPr>
          <w:lang w:val="en-US"/>
        </w:rPr>
        <w:t xml:space="preserve">(7), 518–525. </w:t>
      </w:r>
      <w:proofErr w:type="spellStart"/>
      <w:r w:rsidRPr="00245754">
        <w:rPr>
          <w:lang w:val="en-US"/>
        </w:rPr>
        <w:t>doi</w:t>
      </w:r>
      <w:proofErr w:type="spellEnd"/>
      <w:r w:rsidRPr="00245754">
        <w:rPr>
          <w:lang w:val="en-US"/>
        </w:rPr>
        <w:t>: 10.6007/IJARBSS/v10-i7/7454.</w:t>
      </w:r>
    </w:p>
    <w:p w14:paraId="75E3501E" w14:textId="77777777" w:rsidR="00245754" w:rsidRPr="00245754" w:rsidRDefault="00245754" w:rsidP="00245754">
      <w:pPr>
        <w:ind w:left="284" w:hanging="284"/>
        <w:jc w:val="both"/>
        <w:rPr>
          <w:lang w:val="en-US"/>
        </w:rPr>
      </w:pPr>
      <w:r w:rsidRPr="00245754">
        <w:rPr>
          <w:lang w:val="en-US"/>
        </w:rPr>
        <w:t xml:space="preserve">Raju, J., </w:t>
      </w:r>
      <w:proofErr w:type="spellStart"/>
      <w:r w:rsidRPr="00245754">
        <w:rPr>
          <w:lang w:val="en-US"/>
        </w:rPr>
        <w:t>Asirvatham</w:t>
      </w:r>
      <w:proofErr w:type="spellEnd"/>
      <w:r w:rsidRPr="00245754">
        <w:rPr>
          <w:lang w:val="en-US"/>
        </w:rPr>
        <w:t xml:space="preserve">, R., &amp; </w:t>
      </w:r>
      <w:proofErr w:type="spellStart"/>
      <w:r w:rsidRPr="00245754">
        <w:rPr>
          <w:lang w:val="en-US"/>
        </w:rPr>
        <w:t>Madani</w:t>
      </w:r>
      <w:proofErr w:type="spellEnd"/>
      <w:r w:rsidRPr="00245754">
        <w:rPr>
          <w:lang w:val="en-US"/>
        </w:rPr>
        <w:t xml:space="preserve">, A. H. (2021). Impact of lockdown during covid-19 pandemic on psychological wellbeing among healthy working adults. </w:t>
      </w:r>
      <w:r w:rsidRPr="00245754">
        <w:rPr>
          <w:i/>
          <w:iCs/>
          <w:lang w:val="en-US"/>
        </w:rPr>
        <w:t>Black Sea Journal of Public and Social Science</w:t>
      </w:r>
      <w:r w:rsidRPr="00245754">
        <w:rPr>
          <w:lang w:val="en-US"/>
        </w:rPr>
        <w:t xml:space="preserve">, </w:t>
      </w:r>
      <w:r w:rsidRPr="00245754">
        <w:rPr>
          <w:i/>
          <w:iCs/>
          <w:lang w:val="en-US"/>
        </w:rPr>
        <w:t>4</w:t>
      </w:r>
      <w:r w:rsidRPr="00245754">
        <w:rPr>
          <w:lang w:val="en-US"/>
        </w:rPr>
        <w:t>(1), 34–41.</w:t>
      </w:r>
    </w:p>
    <w:p w14:paraId="2C8583A3" w14:textId="77777777" w:rsidR="00245754" w:rsidRPr="00245754" w:rsidRDefault="00245754" w:rsidP="00245754">
      <w:pPr>
        <w:ind w:left="284" w:hanging="284"/>
        <w:jc w:val="both"/>
        <w:rPr>
          <w:lang w:val="en-US"/>
        </w:rPr>
      </w:pPr>
      <w:proofErr w:type="gramStart"/>
      <w:r w:rsidRPr="00245754">
        <w:rPr>
          <w:lang w:val="en-US"/>
        </w:rPr>
        <w:t>Roberts ,Peter</w:t>
      </w:r>
      <w:proofErr w:type="gramEnd"/>
      <w:r w:rsidRPr="00245754">
        <w:rPr>
          <w:lang w:val="en-US"/>
        </w:rPr>
        <w:t>. (2013). Happiness, Despair and Education.  Studies in Philosophy and Education. No.</w:t>
      </w:r>
      <w:proofErr w:type="gramStart"/>
      <w:r w:rsidRPr="00245754">
        <w:rPr>
          <w:lang w:val="en-US"/>
        </w:rPr>
        <w:t>5,Vol.</w:t>
      </w:r>
      <w:proofErr w:type="gramEnd"/>
      <w:r w:rsidRPr="00245754">
        <w:rPr>
          <w:lang w:val="en-US"/>
        </w:rPr>
        <w:t>32</w:t>
      </w:r>
    </w:p>
    <w:p w14:paraId="1917DE0E" w14:textId="77777777" w:rsidR="00245754" w:rsidRPr="00245754" w:rsidRDefault="00245754" w:rsidP="00245754">
      <w:pPr>
        <w:ind w:left="284" w:hanging="284"/>
        <w:jc w:val="both"/>
        <w:rPr>
          <w:lang w:val="en-US"/>
        </w:rPr>
      </w:pPr>
      <w:proofErr w:type="spellStart"/>
      <w:r w:rsidRPr="00245754">
        <w:rPr>
          <w:lang w:val="en-US"/>
        </w:rPr>
        <w:t>Ryff</w:t>
      </w:r>
      <w:proofErr w:type="spellEnd"/>
      <w:r w:rsidRPr="00245754">
        <w:rPr>
          <w:lang w:val="en-US"/>
        </w:rPr>
        <w:t xml:space="preserve">, C. D. (1989). Happiness is everything, or is it? Explorations on the meaning of psychological well-being. </w:t>
      </w:r>
      <w:r w:rsidRPr="00245754">
        <w:rPr>
          <w:i/>
          <w:iCs/>
          <w:lang w:val="en-US"/>
        </w:rPr>
        <w:t>Journal of Personality and Social</w:t>
      </w:r>
      <w:r w:rsidRPr="00245754">
        <w:rPr>
          <w:lang w:val="en-US"/>
        </w:rPr>
        <w:t xml:space="preserve"> </w:t>
      </w:r>
      <w:r w:rsidRPr="00245754">
        <w:rPr>
          <w:i/>
          <w:iCs/>
          <w:lang w:val="en-US"/>
        </w:rPr>
        <w:t>Psychology, 57</w:t>
      </w:r>
      <w:r w:rsidRPr="00245754">
        <w:rPr>
          <w:lang w:val="en-US"/>
        </w:rPr>
        <w:t>(6), 1069-1081.</w:t>
      </w:r>
    </w:p>
    <w:p w14:paraId="43AE90C2" w14:textId="77777777" w:rsidR="00245754" w:rsidRPr="00245754" w:rsidRDefault="00245754" w:rsidP="00245754">
      <w:pPr>
        <w:ind w:left="284" w:hanging="284"/>
        <w:jc w:val="both"/>
        <w:rPr>
          <w:lang w:val="en-US"/>
        </w:rPr>
      </w:pPr>
      <w:proofErr w:type="spellStart"/>
      <w:r w:rsidRPr="00245754">
        <w:rPr>
          <w:lang w:val="en-US"/>
        </w:rPr>
        <w:t>Ryff</w:t>
      </w:r>
      <w:proofErr w:type="spellEnd"/>
      <w:r w:rsidRPr="00245754">
        <w:rPr>
          <w:lang w:val="en-US"/>
        </w:rPr>
        <w:t xml:space="preserve">, C. D. (2014). Psychological Well-Being Revisited: Advances in Science and Practice. </w:t>
      </w:r>
      <w:proofErr w:type="spellStart"/>
      <w:r w:rsidRPr="00245754">
        <w:rPr>
          <w:lang w:val="en-US"/>
        </w:rPr>
        <w:t>Psychother</w:t>
      </w:r>
      <w:proofErr w:type="spellEnd"/>
      <w:r w:rsidRPr="00245754">
        <w:rPr>
          <w:lang w:val="en-US"/>
        </w:rPr>
        <w:t xml:space="preserve"> </w:t>
      </w:r>
      <w:proofErr w:type="spellStart"/>
      <w:r w:rsidRPr="00245754">
        <w:rPr>
          <w:lang w:val="en-US"/>
        </w:rPr>
        <w:t>Psychosom</w:t>
      </w:r>
      <w:proofErr w:type="spellEnd"/>
      <w:r w:rsidRPr="00245754">
        <w:rPr>
          <w:lang w:val="en-US"/>
        </w:rPr>
        <w:t xml:space="preserve">, 83(1), 10–28. </w:t>
      </w:r>
      <w:proofErr w:type="spellStart"/>
      <w:r w:rsidRPr="00245754">
        <w:rPr>
          <w:lang w:val="en-US"/>
        </w:rPr>
        <w:t>doi</w:t>
      </w:r>
      <w:proofErr w:type="spellEnd"/>
      <w:r w:rsidRPr="00245754">
        <w:rPr>
          <w:lang w:val="en-US"/>
        </w:rPr>
        <w:t>: 10.1159/000353263. Psychological.</w:t>
      </w:r>
    </w:p>
    <w:p w14:paraId="6F47F55B" w14:textId="5D5B881F" w:rsidR="004103F9" w:rsidRPr="00245754" w:rsidRDefault="00245754" w:rsidP="00245754">
      <w:pPr>
        <w:ind w:left="284" w:hanging="284"/>
        <w:jc w:val="both"/>
        <w:rPr>
          <w:lang w:val="en-US"/>
        </w:rPr>
      </w:pPr>
      <w:proofErr w:type="spellStart"/>
      <w:r w:rsidRPr="00245754">
        <w:rPr>
          <w:lang w:val="en-US"/>
        </w:rPr>
        <w:t>Ryff</w:t>
      </w:r>
      <w:proofErr w:type="spellEnd"/>
      <w:r w:rsidRPr="00245754">
        <w:rPr>
          <w:lang w:val="en-US"/>
        </w:rPr>
        <w:t xml:space="preserve">, C. D., &amp; Keyes, C. L. M. (1995). The structure of psychological well-being revisited. </w:t>
      </w:r>
      <w:r w:rsidRPr="00245754">
        <w:rPr>
          <w:i/>
          <w:iCs/>
          <w:lang w:val="en-US"/>
        </w:rPr>
        <w:t>Journal of Personality and Social Psychology, 69</w:t>
      </w:r>
      <w:r w:rsidRPr="00245754">
        <w:rPr>
          <w:lang w:val="en-US"/>
        </w:rPr>
        <w:t>(4), 719-727.</w:t>
      </w:r>
    </w:p>
    <w:sectPr w:rsidR="004103F9" w:rsidRPr="00245754" w:rsidSect="00165473">
      <w:headerReference w:type="even" r:id="rId9"/>
      <w:headerReference w:type="default" r:id="rId10"/>
      <w:footerReference w:type="even" r:id="rId11"/>
      <w:footerReference w:type="default" r:id="rId12"/>
      <w:headerReference w:type="first" r:id="rId13"/>
      <w:footerReference w:type="first" r:id="rId14"/>
      <w:pgSz w:w="11907" w:h="16840" w:code="9"/>
      <w:pgMar w:top="2268" w:right="2155" w:bottom="2410" w:left="2155" w:header="709" w:footer="105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FF8FD" w14:textId="77777777" w:rsidR="007E5749" w:rsidRDefault="007E5749">
      <w:r>
        <w:separator/>
      </w:r>
    </w:p>
  </w:endnote>
  <w:endnote w:type="continuationSeparator" w:id="0">
    <w:p w14:paraId="6B36BBA1" w14:textId="77777777" w:rsidR="007E5749" w:rsidRDefault="007E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Light">
    <w:altName w:val="Calibri"/>
    <w:panose1 w:val="020B0604020202020204"/>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E944" w14:textId="54A90510" w:rsidR="00DF530E" w:rsidRPr="00DE5709" w:rsidRDefault="00063A88" w:rsidP="001227CD">
    <w:pPr>
      <w:pStyle w:val="Footer"/>
      <w:rPr>
        <w:rFonts w:ascii="Bahnschrift Light" w:hAnsi="Bahnschrift Light" w:cs="Arial"/>
        <w:sz w:val="14"/>
        <w:szCs w:val="14"/>
      </w:rPr>
    </w:pPr>
    <w:r>
      <w:rPr>
        <w:rFonts w:ascii="Bahnschrift Light" w:hAnsi="Bahnschrift Light" w:cs="Arial"/>
        <w:sz w:val="14"/>
        <w:szCs w:val="14"/>
      </w:rPr>
      <w:t>Psychocentrum</w:t>
    </w:r>
    <w:r w:rsidR="00560DD6">
      <w:rPr>
        <w:rFonts w:ascii="Bahnschrift Light" w:hAnsi="Bahnschrift Light" w:cs="Arial"/>
        <w:sz w:val="14"/>
        <w:szCs w:val="14"/>
      </w:rPr>
      <w:t xml:space="preserve"> Review</w:t>
    </w:r>
    <w:r w:rsidR="002168E5">
      <w:rPr>
        <w:rFonts w:ascii="Bahnschrift Light" w:hAnsi="Bahnschrift Light" w:cs="Arial"/>
        <w:sz w:val="14"/>
        <w:szCs w:val="14"/>
      </w:rPr>
      <w:t xml:space="preserve"> (</w:t>
    </w:r>
    <w:r w:rsidR="001227CD">
      <w:rPr>
        <w:rFonts w:ascii="Bahnschrift Light" w:hAnsi="Bahnschrift Light" w:cs="Arial"/>
        <w:sz w:val="14"/>
        <w:szCs w:val="14"/>
      </w:rPr>
      <w:t>XXXX</w:t>
    </w:r>
    <w:r w:rsidR="002168E5">
      <w:rPr>
        <w:rFonts w:ascii="Bahnschrift Light" w:hAnsi="Bahnschrift Light" w:cs="Arial"/>
        <w:sz w:val="14"/>
        <w:szCs w:val="14"/>
      </w:rPr>
      <w:t>)</w:t>
    </w:r>
    <w:r w:rsidR="00DF530E" w:rsidRPr="00DE5709">
      <w:rPr>
        <w:rFonts w:ascii="Bahnschrift Light" w:hAnsi="Bahnschrift Light" w:cs="Arial"/>
        <w:sz w:val="14"/>
        <w:szCs w:val="14"/>
      </w:rPr>
      <w:t>, X(X), XX-XX</w:t>
    </w:r>
  </w:p>
  <w:p w14:paraId="01192D34" w14:textId="317DB0AD" w:rsidR="00DF530E" w:rsidRPr="00FD5BEF" w:rsidRDefault="007E5749" w:rsidP="001227CD">
    <w:pPr>
      <w:pStyle w:val="Footer"/>
      <w:rPr>
        <w:rFonts w:ascii="Arial" w:hAnsi="Arial" w:cs="Arial"/>
        <w:sz w:val="16"/>
      </w:rPr>
    </w:pPr>
    <w:hyperlink r:id="rId1" w:history="1">
      <w:r w:rsidR="001227CD" w:rsidRPr="00DE5709">
        <w:rPr>
          <w:rStyle w:val="Hyperlink"/>
          <w:rFonts w:ascii="Bahnschrift Light" w:hAnsi="Bahnschrift Light" w:cs="Arial"/>
          <w:sz w:val="14"/>
          <w:szCs w:val="14"/>
        </w:rPr>
        <w:t>https://doi.org/</w:t>
      </w:r>
      <w:r w:rsidR="001227CD" w:rsidRPr="001227CD">
        <w:rPr>
          <w:rStyle w:val="Hyperlink"/>
          <w:rFonts w:ascii="Bahnschrift Light" w:hAnsi="Bahnschrift Light" w:cs="Arial"/>
          <w:sz w:val="14"/>
          <w:szCs w:val="14"/>
        </w:rPr>
        <w:t>10.30998</w:t>
      </w:r>
      <w:r w:rsidR="001227CD" w:rsidRPr="00DE5709">
        <w:rPr>
          <w:rStyle w:val="Hyperlink"/>
          <w:rFonts w:ascii="Bahnschrift Light" w:hAnsi="Bahnschrift Light" w:cs="Arial"/>
          <w:sz w:val="14"/>
          <w:szCs w:val="14"/>
        </w:rPr>
        <w:t>/xxxxx</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27B1" w14:textId="7C1DC5F9" w:rsidR="001227CD" w:rsidRPr="00DE5709" w:rsidRDefault="001227CD" w:rsidP="001227CD">
    <w:pPr>
      <w:pStyle w:val="Footer"/>
      <w:jc w:val="right"/>
      <w:rPr>
        <w:rFonts w:ascii="Bahnschrift Light" w:hAnsi="Bahnschrift Light" w:cs="Arial"/>
        <w:sz w:val="14"/>
        <w:szCs w:val="14"/>
      </w:rPr>
    </w:pPr>
    <w:r>
      <w:rPr>
        <w:rFonts w:ascii="Bahnschrift Light" w:hAnsi="Bahnschrift Light" w:cs="Arial"/>
        <w:sz w:val="14"/>
        <w:szCs w:val="14"/>
      </w:rPr>
      <w:t>Universitas Indraprasta PGRI, Jakarta, Indonesia</w:t>
    </w:r>
  </w:p>
  <w:p w14:paraId="6FCED314" w14:textId="6173F3F0" w:rsidR="001227CD" w:rsidRDefault="007E5749" w:rsidP="001227CD">
    <w:pPr>
      <w:pStyle w:val="Footer"/>
      <w:jc w:val="right"/>
    </w:pPr>
    <w:hyperlink r:id="rId1" w:history="1">
      <w:r w:rsidR="001227CD" w:rsidRPr="00DE5709">
        <w:rPr>
          <w:rStyle w:val="Hyperlink"/>
          <w:rFonts w:ascii="Bahnschrift Light" w:hAnsi="Bahnschrift Light" w:cs="Arial"/>
          <w:sz w:val="14"/>
          <w:szCs w:val="14"/>
        </w:rPr>
        <w:t>https://doi.org/</w:t>
      </w:r>
      <w:r w:rsidR="001227CD" w:rsidRPr="001227CD">
        <w:rPr>
          <w:rStyle w:val="Hyperlink"/>
          <w:rFonts w:ascii="Bahnschrift Light" w:hAnsi="Bahnschrift Light" w:cs="Arial"/>
          <w:sz w:val="14"/>
          <w:szCs w:val="14"/>
        </w:rPr>
        <w:t>10.30998</w:t>
      </w:r>
      <w:r w:rsidR="001227CD" w:rsidRPr="00DE5709">
        <w:rPr>
          <w:rStyle w:val="Hyperlink"/>
          <w:rFonts w:ascii="Bahnschrift Light" w:hAnsi="Bahnschrift Light" w:cs="Arial"/>
          <w:sz w:val="14"/>
          <w:szCs w:val="14"/>
        </w:rPr>
        <w:t>/xxxxx</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213256"/>
      <w:docPartObj>
        <w:docPartGallery w:val="Page Numbers (Bottom of Page)"/>
        <w:docPartUnique/>
      </w:docPartObj>
    </w:sdtPr>
    <w:sdtEndPr>
      <w:rPr>
        <w:noProof/>
      </w:rPr>
    </w:sdtEndPr>
    <w:sdtContent>
      <w:p w14:paraId="1B9ACDB0" w14:textId="2F43A1D3" w:rsidR="001227CD" w:rsidRDefault="001227CD">
        <w:pPr>
          <w:pStyle w:val="Footer"/>
          <w:jc w:val="center"/>
        </w:pPr>
        <w:r>
          <w:fldChar w:fldCharType="begin"/>
        </w:r>
        <w:r>
          <w:instrText xml:space="preserve"> PAGE   \* MERGEFORMAT </w:instrText>
        </w:r>
        <w:r>
          <w:fldChar w:fldCharType="separate"/>
        </w:r>
        <w:r w:rsidR="009310E4">
          <w:rPr>
            <w:noProof/>
          </w:rPr>
          <w:t>1</w:t>
        </w:r>
        <w:r>
          <w:rPr>
            <w:noProof/>
          </w:rPr>
          <w:fldChar w:fldCharType="end"/>
        </w:r>
      </w:p>
    </w:sdtContent>
  </w:sdt>
  <w:p w14:paraId="0B32722B" w14:textId="77777777" w:rsidR="001227CD" w:rsidRDefault="0012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52355" w14:textId="77777777" w:rsidR="007E5749" w:rsidRDefault="007E5749">
      <w:r>
        <w:separator/>
      </w:r>
    </w:p>
  </w:footnote>
  <w:footnote w:type="continuationSeparator" w:id="0">
    <w:p w14:paraId="62AF4F16" w14:textId="77777777" w:rsidR="007E5749" w:rsidRDefault="007E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A6FE2" w14:textId="10E90F4C" w:rsidR="00DF530E" w:rsidRDefault="00DF530E">
    <w:pPr>
      <w:pStyle w:val="Header"/>
      <w:jc w:val="right"/>
    </w:pPr>
    <w:r w:rsidRPr="00DF530E">
      <w:rPr>
        <w:rFonts w:ascii="Arial" w:hAnsi="Arial" w:cs="Arial"/>
        <w:sz w:val="16"/>
        <w:szCs w:val="18"/>
      </w:rPr>
      <w:t xml:space="preserve"> </w:t>
    </w:r>
    <w:r w:rsidRPr="00AB244D">
      <w:rPr>
        <w:rFonts w:ascii="Bahnschrift Light" w:hAnsi="Bahnschrift Light" w:cs="Arial"/>
        <w:sz w:val="16"/>
        <w:szCs w:val="18"/>
      </w:rPr>
      <w:t>Author(s)</w:t>
    </w:r>
    <w:r w:rsidRPr="00165473">
      <w:rPr>
        <w:sz w:val="18"/>
      </w:rPr>
      <w:t>│</w:t>
    </w:r>
    <w:sdt>
      <w:sdtPr>
        <w:rPr>
          <w:sz w:val="18"/>
        </w:rPr>
        <w:id w:val="1356157458"/>
        <w:docPartObj>
          <w:docPartGallery w:val="Page Numbers (Top of Page)"/>
          <w:docPartUnique/>
        </w:docPartObj>
      </w:sdtPr>
      <w:sdtEndPr>
        <w:rPr>
          <w:noProof/>
          <w:sz w:val="20"/>
        </w:rPr>
      </w:sdtEndPr>
      <w:sdtContent>
        <w:r w:rsidRPr="003C68FA">
          <w:fldChar w:fldCharType="begin"/>
        </w:r>
        <w:r w:rsidRPr="003C68FA">
          <w:instrText xml:space="preserve"> PAGE   \* MERGEFORMAT </w:instrText>
        </w:r>
        <w:r w:rsidRPr="003C68FA">
          <w:fldChar w:fldCharType="separate"/>
        </w:r>
        <w:r w:rsidR="009310E4">
          <w:rPr>
            <w:noProof/>
          </w:rPr>
          <w:t>6</w:t>
        </w:r>
        <w:r w:rsidRPr="003C68FA">
          <w:rPr>
            <w:noProof/>
          </w:rPr>
          <w:fldChar w:fldCharType="end"/>
        </w:r>
      </w:sdtContent>
    </w:sdt>
  </w:p>
  <w:p w14:paraId="1D8DA8CB" w14:textId="77777777" w:rsidR="00DF530E" w:rsidRDefault="00DF5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813890"/>
      <w:docPartObj>
        <w:docPartGallery w:val="Page Numbers (Top of Page)"/>
        <w:docPartUnique/>
      </w:docPartObj>
    </w:sdtPr>
    <w:sdtEndPr>
      <w:rPr>
        <w:noProof/>
      </w:rPr>
    </w:sdtEndPr>
    <w:sdtContent>
      <w:p w14:paraId="5DA0A12A" w14:textId="6DCD19CC" w:rsidR="00754727" w:rsidRDefault="00754727" w:rsidP="00AB244D">
        <w:pPr>
          <w:pStyle w:val="Header"/>
          <w:ind w:left="284" w:hanging="284"/>
        </w:pPr>
        <w:r w:rsidRPr="003C68FA">
          <w:fldChar w:fldCharType="begin"/>
        </w:r>
        <w:r w:rsidRPr="003C68FA">
          <w:instrText xml:space="preserve"> PAGE   \* MERGEFORMAT </w:instrText>
        </w:r>
        <w:r w:rsidRPr="003C68FA">
          <w:fldChar w:fldCharType="separate"/>
        </w:r>
        <w:r w:rsidR="009310E4">
          <w:rPr>
            <w:noProof/>
          </w:rPr>
          <w:t>3</w:t>
        </w:r>
        <w:r w:rsidRPr="003C68FA">
          <w:rPr>
            <w:noProof/>
          </w:rPr>
          <w:fldChar w:fldCharType="end"/>
        </w:r>
        <w:r w:rsidRPr="00165473">
          <w:rPr>
            <w:noProof/>
            <w:sz w:val="18"/>
          </w:rPr>
          <w:t>│</w:t>
        </w:r>
        <w:r w:rsidR="000061E2" w:rsidRPr="000061E2">
          <w:t xml:space="preserve"> </w:t>
        </w:r>
        <w:r w:rsidR="000061E2" w:rsidRPr="00AB244D">
          <w:rPr>
            <w:rFonts w:ascii="Bahnschrift Light" w:hAnsi="Bahnschrift Light" w:cs="Arial"/>
            <w:noProof/>
            <w:sz w:val="16"/>
          </w:rPr>
          <w:t>Enter the title of your article here</w:t>
        </w:r>
      </w:p>
    </w:sdtContent>
  </w:sdt>
  <w:p w14:paraId="7653B0A2" w14:textId="77777777" w:rsidR="00754727" w:rsidRDefault="00754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0B3E" w14:textId="40F32413" w:rsidR="001227CD" w:rsidRPr="00DE5709" w:rsidRDefault="001227CD" w:rsidP="001227CD">
    <w:pPr>
      <w:pStyle w:val="Header"/>
      <w:rPr>
        <w:rFonts w:ascii="Bahnschrift Light" w:hAnsi="Bahnschrift Light" w:cs="Arial"/>
        <w:sz w:val="14"/>
        <w:szCs w:val="14"/>
      </w:rPr>
    </w:pPr>
    <w:r>
      <w:rPr>
        <w:rFonts w:ascii="Bahnschrift Light" w:hAnsi="Bahnschrift Light" w:cs="Arial"/>
        <w:noProof/>
        <w:sz w:val="14"/>
        <w:szCs w:val="14"/>
        <w:lang w:val="en-US" w:eastAsia="en-US"/>
      </w:rPr>
      <w:drawing>
        <wp:anchor distT="0" distB="0" distL="114300" distR="114300" simplePos="0" relativeHeight="251659264" behindDoc="0" locked="0" layoutInCell="1" allowOverlap="1" wp14:anchorId="3D8C5723" wp14:editId="4BF7B9B3">
          <wp:simplePos x="0" y="0"/>
          <wp:positionH relativeFrom="margin">
            <wp:align>right</wp:align>
          </wp:positionH>
          <wp:positionV relativeFrom="paragraph">
            <wp:posOffset>-68618</wp:posOffset>
          </wp:positionV>
          <wp:extent cx="1230037" cy="486271"/>
          <wp:effectExtent l="0" t="0" r="8255" b="9525"/>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cR new.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1833" t="36756" r="17650" b="43534"/>
                  <a:stretch/>
                </pic:blipFill>
                <pic:spPr bwMode="auto">
                  <a:xfrm>
                    <a:off x="0" y="0"/>
                    <a:ext cx="1230037" cy="4862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ahnschrift Light" w:hAnsi="Bahnschrift Light" w:cs="Arial"/>
        <w:sz w:val="14"/>
        <w:szCs w:val="14"/>
      </w:rPr>
      <w:t>Psychocentrum Review (XXXX)</w:t>
    </w:r>
    <w:r w:rsidRPr="00E03BA4">
      <w:rPr>
        <w:rFonts w:ascii="Bahnschrift Light" w:hAnsi="Bahnschrift Light" w:cs="Arial"/>
        <w:sz w:val="14"/>
        <w:szCs w:val="14"/>
      </w:rPr>
      <w:t>,</w:t>
    </w:r>
    <w:r w:rsidRPr="00DE5709">
      <w:rPr>
        <w:rFonts w:ascii="Bahnschrift Light" w:hAnsi="Bahnschrift Light" w:cs="Arial"/>
        <w:sz w:val="14"/>
        <w:szCs w:val="14"/>
      </w:rPr>
      <w:t xml:space="preserve"> X(X), XX-XX</w:t>
    </w:r>
  </w:p>
  <w:p w14:paraId="712A126D" w14:textId="77777777" w:rsidR="001227CD" w:rsidRPr="00DE5709" w:rsidRDefault="001227CD" w:rsidP="001227CD">
    <w:pPr>
      <w:pStyle w:val="Header"/>
      <w:rPr>
        <w:rFonts w:ascii="Bahnschrift Light" w:hAnsi="Bahnschrift Light" w:cs="Arial"/>
        <w:sz w:val="14"/>
        <w:szCs w:val="14"/>
      </w:rPr>
    </w:pPr>
    <w:r w:rsidRPr="00DE5709">
      <w:rPr>
        <w:rFonts w:ascii="Bahnschrift Light" w:hAnsi="Bahnschrift Light" w:cs="Arial"/>
        <w:sz w:val="14"/>
        <w:szCs w:val="14"/>
      </w:rPr>
      <w:t xml:space="preserve">ISSN </w:t>
    </w:r>
    <w:r w:rsidRPr="00380CC1">
      <w:rPr>
        <w:rFonts w:ascii="Bahnschrift Light" w:hAnsi="Bahnschrift Light" w:cs="Arial"/>
        <w:sz w:val="14"/>
        <w:szCs w:val="14"/>
      </w:rPr>
      <w:t xml:space="preserve">2656-8454 </w:t>
    </w:r>
    <w:r w:rsidRPr="00DE5709">
      <w:rPr>
        <w:rFonts w:ascii="Bahnschrift Light" w:hAnsi="Bahnschrift Light" w:cs="Arial"/>
        <w:sz w:val="14"/>
        <w:szCs w:val="14"/>
      </w:rPr>
      <w:t>(</w:t>
    </w:r>
    <w:r>
      <w:rPr>
        <w:rFonts w:ascii="Bahnschrift Light" w:hAnsi="Bahnschrift Light" w:cs="Arial"/>
        <w:sz w:val="14"/>
        <w:szCs w:val="14"/>
      </w:rPr>
      <w:t>Electronic</w:t>
    </w:r>
    <w:r w:rsidRPr="00DE5709">
      <w:rPr>
        <w:rFonts w:ascii="Bahnschrift Light" w:hAnsi="Bahnschrift Light" w:cs="Arial"/>
        <w:sz w:val="14"/>
        <w:szCs w:val="14"/>
      </w:rPr>
      <w:t xml:space="preserve">) </w:t>
    </w:r>
    <w:r w:rsidRPr="00DE5709">
      <w:rPr>
        <w:rFonts w:ascii="Arial" w:hAnsi="Arial" w:cs="Arial"/>
        <w:sz w:val="14"/>
        <w:szCs w:val="14"/>
      </w:rPr>
      <w:t>│</w:t>
    </w:r>
    <w:r w:rsidRPr="00DE5709">
      <w:rPr>
        <w:rFonts w:ascii="Bahnschrift Light" w:hAnsi="Bahnschrift Light" w:cs="Arial"/>
        <w:sz w:val="14"/>
        <w:szCs w:val="14"/>
      </w:rPr>
      <w:t xml:space="preserve">ISSN </w:t>
    </w:r>
    <w:r w:rsidRPr="0067357A">
      <w:rPr>
        <w:rFonts w:ascii="Bahnschrift Light" w:hAnsi="Bahnschrift Light" w:cs="Arial"/>
        <w:sz w:val="14"/>
        <w:szCs w:val="14"/>
      </w:rPr>
      <w:t>2656-1069</w:t>
    </w:r>
    <w:r w:rsidRPr="00DE5709">
      <w:rPr>
        <w:rFonts w:ascii="Bahnschrift Light" w:hAnsi="Bahnschrift Light" w:cs="Arial"/>
        <w:sz w:val="14"/>
        <w:szCs w:val="14"/>
      </w:rPr>
      <w:t xml:space="preserve"> (Print)</w:t>
    </w:r>
  </w:p>
  <w:p w14:paraId="7611D5AF" w14:textId="25168107" w:rsidR="001227CD" w:rsidRPr="00FD4170" w:rsidRDefault="007E5749" w:rsidP="001227CD">
    <w:pPr>
      <w:pStyle w:val="Header"/>
      <w:rPr>
        <w:sz w:val="16"/>
        <w:szCs w:val="18"/>
      </w:rPr>
    </w:pPr>
    <w:hyperlink r:id="rId3" w:history="1">
      <w:r w:rsidR="001227CD" w:rsidRPr="00DE5709">
        <w:rPr>
          <w:rStyle w:val="Hyperlink"/>
          <w:rFonts w:ascii="Bahnschrift Light" w:hAnsi="Bahnschrift Light" w:cs="Arial"/>
          <w:sz w:val="14"/>
          <w:szCs w:val="14"/>
        </w:rPr>
        <w:t>https://doi.org/</w:t>
      </w:r>
      <w:r w:rsidR="001227CD" w:rsidRPr="001227CD">
        <w:rPr>
          <w:rStyle w:val="Hyperlink"/>
          <w:rFonts w:ascii="Bahnschrift Light" w:hAnsi="Bahnschrift Light" w:cs="Arial"/>
          <w:sz w:val="14"/>
          <w:szCs w:val="14"/>
        </w:rPr>
        <w:t>10.30998</w:t>
      </w:r>
      <w:r w:rsidR="001227CD" w:rsidRPr="00DE5709">
        <w:rPr>
          <w:rStyle w:val="Hyperlink"/>
          <w:rFonts w:ascii="Bahnschrift Light" w:hAnsi="Bahnschrift Light" w:cs="Arial"/>
          <w:sz w:val="14"/>
          <w:szCs w:val="14"/>
        </w:rPr>
        <w:t>/xxxxx</w:t>
      </w:r>
    </w:hyperlink>
    <w:r w:rsidR="001227CD" w:rsidRPr="00FD4170">
      <w:rPr>
        <w:rFonts w:ascii="Arial" w:hAnsi="Arial" w:cs="Arial"/>
        <w:sz w:val="16"/>
        <w:szCs w:val="18"/>
      </w:rPr>
      <w:t xml:space="preserve"> </w:t>
    </w:r>
  </w:p>
  <w:p w14:paraId="253F7E9B" w14:textId="77777777" w:rsidR="001227CD" w:rsidRDefault="001227CD" w:rsidP="001227CD">
    <w:pPr>
      <w:pStyle w:val="Header"/>
    </w:pPr>
  </w:p>
  <w:p w14:paraId="0FE8C6AB" w14:textId="77777777" w:rsidR="001227CD" w:rsidRDefault="001227CD" w:rsidP="001227CD">
    <w:pPr>
      <w:pStyle w:val="Header"/>
    </w:pPr>
  </w:p>
  <w:p w14:paraId="701A5719" w14:textId="77777777" w:rsidR="001227CD" w:rsidRDefault="001227CD" w:rsidP="001227CD">
    <w:pPr>
      <w:pStyle w:val="Header"/>
    </w:pPr>
  </w:p>
  <w:p w14:paraId="3352D0A0" w14:textId="77777777" w:rsidR="001227CD" w:rsidRDefault="00122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E6"/>
    <w:rsid w:val="000061E2"/>
    <w:rsid w:val="000062DE"/>
    <w:rsid w:val="00051EEB"/>
    <w:rsid w:val="00057618"/>
    <w:rsid w:val="00063A88"/>
    <w:rsid w:val="00090466"/>
    <w:rsid w:val="00090FF3"/>
    <w:rsid w:val="00091AC9"/>
    <w:rsid w:val="000A4CEA"/>
    <w:rsid w:val="000B09CC"/>
    <w:rsid w:val="000C2108"/>
    <w:rsid w:val="000C2378"/>
    <w:rsid w:val="000D1F82"/>
    <w:rsid w:val="000D450C"/>
    <w:rsid w:val="000E166D"/>
    <w:rsid w:val="000E32E8"/>
    <w:rsid w:val="000F24F6"/>
    <w:rsid w:val="00101B33"/>
    <w:rsid w:val="00105F29"/>
    <w:rsid w:val="001072AF"/>
    <w:rsid w:val="00107972"/>
    <w:rsid w:val="0011247E"/>
    <w:rsid w:val="001131DE"/>
    <w:rsid w:val="001223F6"/>
    <w:rsid w:val="001227CD"/>
    <w:rsid w:val="00134E01"/>
    <w:rsid w:val="00165473"/>
    <w:rsid w:val="00175F45"/>
    <w:rsid w:val="001920AD"/>
    <w:rsid w:val="001A57AA"/>
    <w:rsid w:val="001B2961"/>
    <w:rsid w:val="001C10EE"/>
    <w:rsid w:val="001C6FB2"/>
    <w:rsid w:val="001E41B0"/>
    <w:rsid w:val="001E53C7"/>
    <w:rsid w:val="001F30EC"/>
    <w:rsid w:val="00207F4F"/>
    <w:rsid w:val="002115B3"/>
    <w:rsid w:val="002168E5"/>
    <w:rsid w:val="00216F98"/>
    <w:rsid w:val="00224138"/>
    <w:rsid w:val="00226F13"/>
    <w:rsid w:val="00245754"/>
    <w:rsid w:val="00253B07"/>
    <w:rsid w:val="00274BE6"/>
    <w:rsid w:val="0028750E"/>
    <w:rsid w:val="0029364F"/>
    <w:rsid w:val="00296783"/>
    <w:rsid w:val="002A4C25"/>
    <w:rsid w:val="002B1446"/>
    <w:rsid w:val="002B34B2"/>
    <w:rsid w:val="002D411A"/>
    <w:rsid w:val="002E44B0"/>
    <w:rsid w:val="002E4D70"/>
    <w:rsid w:val="00312374"/>
    <w:rsid w:val="0031683D"/>
    <w:rsid w:val="00341DE3"/>
    <w:rsid w:val="003562AF"/>
    <w:rsid w:val="003566C7"/>
    <w:rsid w:val="00363941"/>
    <w:rsid w:val="003640FF"/>
    <w:rsid w:val="00380CC1"/>
    <w:rsid w:val="00381755"/>
    <w:rsid w:val="00383776"/>
    <w:rsid w:val="00393A9B"/>
    <w:rsid w:val="003A5BA4"/>
    <w:rsid w:val="003A7FF8"/>
    <w:rsid w:val="003C68FA"/>
    <w:rsid w:val="003C69EC"/>
    <w:rsid w:val="003E1B70"/>
    <w:rsid w:val="003E714B"/>
    <w:rsid w:val="003F1CC3"/>
    <w:rsid w:val="004103F9"/>
    <w:rsid w:val="00414B1F"/>
    <w:rsid w:val="00423346"/>
    <w:rsid w:val="0042530D"/>
    <w:rsid w:val="00433A73"/>
    <w:rsid w:val="00441976"/>
    <w:rsid w:val="0044337A"/>
    <w:rsid w:val="00454ED4"/>
    <w:rsid w:val="004661EA"/>
    <w:rsid w:val="00471E20"/>
    <w:rsid w:val="00472F54"/>
    <w:rsid w:val="0047686A"/>
    <w:rsid w:val="004A15A4"/>
    <w:rsid w:val="004A35C9"/>
    <w:rsid w:val="004A4615"/>
    <w:rsid w:val="004A582D"/>
    <w:rsid w:val="004B60E5"/>
    <w:rsid w:val="004F4A9C"/>
    <w:rsid w:val="00501C71"/>
    <w:rsid w:val="00502758"/>
    <w:rsid w:val="00513BD4"/>
    <w:rsid w:val="005256D9"/>
    <w:rsid w:val="00560DD6"/>
    <w:rsid w:val="00564892"/>
    <w:rsid w:val="00570255"/>
    <w:rsid w:val="00573BE4"/>
    <w:rsid w:val="00576AAF"/>
    <w:rsid w:val="00591ADD"/>
    <w:rsid w:val="00622C05"/>
    <w:rsid w:val="00627C32"/>
    <w:rsid w:val="0063471E"/>
    <w:rsid w:val="006704AA"/>
    <w:rsid w:val="006707F1"/>
    <w:rsid w:val="00670BC7"/>
    <w:rsid w:val="0067357A"/>
    <w:rsid w:val="00676EB3"/>
    <w:rsid w:val="00696F07"/>
    <w:rsid w:val="006A363D"/>
    <w:rsid w:val="006A48CF"/>
    <w:rsid w:val="006B5784"/>
    <w:rsid w:val="006D1918"/>
    <w:rsid w:val="006F477D"/>
    <w:rsid w:val="00720A88"/>
    <w:rsid w:val="00723534"/>
    <w:rsid w:val="00723A92"/>
    <w:rsid w:val="007459C6"/>
    <w:rsid w:val="00746860"/>
    <w:rsid w:val="007546E5"/>
    <w:rsid w:val="00754727"/>
    <w:rsid w:val="0076200F"/>
    <w:rsid w:val="0078513A"/>
    <w:rsid w:val="007B0713"/>
    <w:rsid w:val="007B2E09"/>
    <w:rsid w:val="007B5546"/>
    <w:rsid w:val="007D2192"/>
    <w:rsid w:val="007E4ACE"/>
    <w:rsid w:val="007E573D"/>
    <w:rsid w:val="007E5749"/>
    <w:rsid w:val="008153B4"/>
    <w:rsid w:val="00830F45"/>
    <w:rsid w:val="00831D36"/>
    <w:rsid w:val="00866AE1"/>
    <w:rsid w:val="008F0B2C"/>
    <w:rsid w:val="008F43DD"/>
    <w:rsid w:val="008F63F8"/>
    <w:rsid w:val="0090673E"/>
    <w:rsid w:val="009209B8"/>
    <w:rsid w:val="009310E4"/>
    <w:rsid w:val="00931407"/>
    <w:rsid w:val="00937F58"/>
    <w:rsid w:val="0094054E"/>
    <w:rsid w:val="009660F2"/>
    <w:rsid w:val="00973E98"/>
    <w:rsid w:val="00976919"/>
    <w:rsid w:val="009809A4"/>
    <w:rsid w:val="009834A8"/>
    <w:rsid w:val="00984F30"/>
    <w:rsid w:val="00990217"/>
    <w:rsid w:val="0099287C"/>
    <w:rsid w:val="00995593"/>
    <w:rsid w:val="009B2FA0"/>
    <w:rsid w:val="009C5F8D"/>
    <w:rsid w:val="009D00D3"/>
    <w:rsid w:val="009D6F48"/>
    <w:rsid w:val="009D75EF"/>
    <w:rsid w:val="009E5285"/>
    <w:rsid w:val="009F45AE"/>
    <w:rsid w:val="00A0022A"/>
    <w:rsid w:val="00A1438B"/>
    <w:rsid w:val="00A33496"/>
    <w:rsid w:val="00A458F2"/>
    <w:rsid w:val="00A506CF"/>
    <w:rsid w:val="00A7765F"/>
    <w:rsid w:val="00A91271"/>
    <w:rsid w:val="00AB244D"/>
    <w:rsid w:val="00AB63F4"/>
    <w:rsid w:val="00AD5E5C"/>
    <w:rsid w:val="00AE706B"/>
    <w:rsid w:val="00AE75A6"/>
    <w:rsid w:val="00B07F40"/>
    <w:rsid w:val="00B17912"/>
    <w:rsid w:val="00B179A4"/>
    <w:rsid w:val="00B24FD6"/>
    <w:rsid w:val="00B353B1"/>
    <w:rsid w:val="00B521A7"/>
    <w:rsid w:val="00B74A24"/>
    <w:rsid w:val="00B8748D"/>
    <w:rsid w:val="00B93356"/>
    <w:rsid w:val="00BB19B2"/>
    <w:rsid w:val="00BD0ED0"/>
    <w:rsid w:val="00C14BA3"/>
    <w:rsid w:val="00C1577E"/>
    <w:rsid w:val="00C32C31"/>
    <w:rsid w:val="00C537F9"/>
    <w:rsid w:val="00C637D0"/>
    <w:rsid w:val="00C712B5"/>
    <w:rsid w:val="00C967CA"/>
    <w:rsid w:val="00CC3077"/>
    <w:rsid w:val="00CD656B"/>
    <w:rsid w:val="00CE094E"/>
    <w:rsid w:val="00CF07B5"/>
    <w:rsid w:val="00CF7B69"/>
    <w:rsid w:val="00D007DF"/>
    <w:rsid w:val="00D16B0C"/>
    <w:rsid w:val="00D21521"/>
    <w:rsid w:val="00D26169"/>
    <w:rsid w:val="00D313BC"/>
    <w:rsid w:val="00D32A30"/>
    <w:rsid w:val="00D36E69"/>
    <w:rsid w:val="00D40645"/>
    <w:rsid w:val="00D85551"/>
    <w:rsid w:val="00D85659"/>
    <w:rsid w:val="00D87A86"/>
    <w:rsid w:val="00DA3F5C"/>
    <w:rsid w:val="00DB0891"/>
    <w:rsid w:val="00DE5709"/>
    <w:rsid w:val="00DF530E"/>
    <w:rsid w:val="00E00D49"/>
    <w:rsid w:val="00E03BA4"/>
    <w:rsid w:val="00E13A00"/>
    <w:rsid w:val="00E40A51"/>
    <w:rsid w:val="00E60287"/>
    <w:rsid w:val="00E750E2"/>
    <w:rsid w:val="00E91879"/>
    <w:rsid w:val="00E918F9"/>
    <w:rsid w:val="00E96927"/>
    <w:rsid w:val="00EA480B"/>
    <w:rsid w:val="00EB7D20"/>
    <w:rsid w:val="00ED52B4"/>
    <w:rsid w:val="00EF0C5E"/>
    <w:rsid w:val="00EF16D1"/>
    <w:rsid w:val="00F0257B"/>
    <w:rsid w:val="00F1041C"/>
    <w:rsid w:val="00F20263"/>
    <w:rsid w:val="00F21462"/>
    <w:rsid w:val="00F542A1"/>
    <w:rsid w:val="00F5495A"/>
    <w:rsid w:val="00F5609E"/>
    <w:rsid w:val="00F569EA"/>
    <w:rsid w:val="00F65DBB"/>
    <w:rsid w:val="00F67D2A"/>
    <w:rsid w:val="00F762EF"/>
    <w:rsid w:val="00FB3ABC"/>
    <w:rsid w:val="00FB4B77"/>
    <w:rsid w:val="00FC7F33"/>
    <w:rsid w:val="00FD4170"/>
    <w:rsid w:val="00FD5B3A"/>
    <w:rsid w:val="00FD5BEF"/>
    <w:rsid w:val="00FD69C9"/>
    <w:rsid w:val="00FE6DA6"/>
    <w:rsid w:val="00FF6E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765A3"/>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28750E"/>
    <w:pPr>
      <w:tabs>
        <w:tab w:val="center" w:pos="4680"/>
        <w:tab w:val="right" w:pos="9360"/>
      </w:tabs>
    </w:pPr>
  </w:style>
  <w:style w:type="character" w:customStyle="1" w:styleId="HeaderChar">
    <w:name w:val="Header Char"/>
    <w:basedOn w:val="DefaultParagraphFont"/>
    <w:link w:val="Header"/>
    <w:uiPriority w:val="99"/>
    <w:rsid w:val="0028750E"/>
  </w:style>
  <w:style w:type="paragraph" w:styleId="Footer">
    <w:name w:val="footer"/>
    <w:basedOn w:val="Normal"/>
    <w:link w:val="FooterChar"/>
    <w:uiPriority w:val="99"/>
    <w:unhideWhenUsed/>
    <w:rsid w:val="0028750E"/>
    <w:pPr>
      <w:tabs>
        <w:tab w:val="center" w:pos="4680"/>
        <w:tab w:val="right" w:pos="9360"/>
      </w:tabs>
    </w:pPr>
  </w:style>
  <w:style w:type="character" w:customStyle="1" w:styleId="FooterChar">
    <w:name w:val="Footer Char"/>
    <w:basedOn w:val="DefaultParagraphFont"/>
    <w:link w:val="Footer"/>
    <w:uiPriority w:val="99"/>
    <w:rsid w:val="0028750E"/>
  </w:style>
  <w:style w:type="table" w:styleId="TableGrid">
    <w:name w:val="Table Grid"/>
    <w:basedOn w:val="TableNormal"/>
    <w:uiPriority w:val="39"/>
    <w:rsid w:val="0096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9B2"/>
    <w:rPr>
      <w:color w:val="0070C0"/>
      <w:u w:val="none"/>
    </w:rPr>
  </w:style>
  <w:style w:type="character" w:customStyle="1" w:styleId="UnresolvedMention1">
    <w:name w:val="Unresolved Mention1"/>
    <w:basedOn w:val="DefaultParagraphFont"/>
    <w:uiPriority w:val="99"/>
    <w:semiHidden/>
    <w:unhideWhenUsed/>
    <w:rsid w:val="00B179A4"/>
    <w:rPr>
      <w:color w:val="605E5C"/>
      <w:shd w:val="clear" w:color="auto" w:fill="E1DFDD"/>
    </w:rPr>
  </w:style>
  <w:style w:type="paragraph" w:styleId="ListParagraph">
    <w:name w:val="List Paragraph"/>
    <w:basedOn w:val="Normal"/>
    <w:uiPriority w:val="34"/>
    <w:qFormat/>
    <w:rsid w:val="000E32E8"/>
    <w:pPr>
      <w:ind w:left="720"/>
      <w:contextualSpacing/>
    </w:pPr>
  </w:style>
  <w:style w:type="paragraph" w:styleId="PlainText">
    <w:name w:val="Plain Text"/>
    <w:basedOn w:val="Normal"/>
    <w:link w:val="PlainTextChar"/>
    <w:uiPriority w:val="99"/>
    <w:unhideWhenUsed/>
    <w:rsid w:val="00576AAF"/>
    <w:pPr>
      <w:jc w:val="center"/>
    </w:pPr>
    <w:rPr>
      <w:rFonts w:ascii="Consolas" w:eastAsiaTheme="minorHAnsi" w:hAnsi="Consolas" w:cstheme="minorHAnsi"/>
      <w:color w:val="auto"/>
      <w:sz w:val="21"/>
      <w:szCs w:val="21"/>
      <w:lang w:val="en-US" w:eastAsia="en-US"/>
    </w:rPr>
  </w:style>
  <w:style w:type="character" w:customStyle="1" w:styleId="PlainTextChar">
    <w:name w:val="Plain Text Char"/>
    <w:basedOn w:val="DefaultParagraphFont"/>
    <w:link w:val="PlainText"/>
    <w:uiPriority w:val="99"/>
    <w:rsid w:val="00576AAF"/>
    <w:rPr>
      <w:rFonts w:ascii="Consolas" w:eastAsiaTheme="minorHAnsi" w:hAnsi="Consolas" w:cstheme="minorHAnsi"/>
      <w:color w:val="auto"/>
      <w:sz w:val="21"/>
      <w:szCs w:val="21"/>
      <w:lang w:val="en-US" w:eastAsia="en-US"/>
    </w:rPr>
  </w:style>
  <w:style w:type="paragraph" w:styleId="BalloonText">
    <w:name w:val="Balloon Text"/>
    <w:basedOn w:val="Normal"/>
    <w:link w:val="BalloonTextChar"/>
    <w:uiPriority w:val="99"/>
    <w:semiHidden/>
    <w:unhideWhenUsed/>
    <w:rsid w:val="006347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71E"/>
    <w:rPr>
      <w:rFonts w:ascii="Segoe UI" w:hAnsi="Segoe UI" w:cs="Segoe UI"/>
      <w:sz w:val="18"/>
      <w:szCs w:val="18"/>
    </w:rPr>
  </w:style>
  <w:style w:type="character" w:styleId="Emphasis">
    <w:name w:val="Emphasis"/>
    <w:basedOn w:val="DefaultParagraphFont"/>
    <w:uiPriority w:val="20"/>
    <w:qFormat/>
    <w:rsid w:val="007B2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ody.hartanto@bk.uad.ac.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doi.org/10.xxxx/x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xxxx/xxxxx"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xxxx/xxxxx"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1C36-EB7E-B44C-8BB3-C48EB56D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Editorial 2000</dc:creator>
  <cp:lastModifiedBy>Microsoft Office User</cp:lastModifiedBy>
  <cp:revision>2</cp:revision>
  <cp:lastPrinted>2019-02-21T08:17:00Z</cp:lastPrinted>
  <dcterms:created xsi:type="dcterms:W3CDTF">2022-01-13T02:08:00Z</dcterms:created>
  <dcterms:modified xsi:type="dcterms:W3CDTF">2022-01-13T02:08:00Z</dcterms:modified>
</cp:coreProperties>
</file>